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486CD8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127721D8" w:rsidR="00486CD8" w:rsidRPr="00672933" w:rsidRDefault="009E46E3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6 Verso le Strategie di sviluppo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territoriale in Sicilia</w:t>
            </w:r>
          </w:p>
        </w:tc>
      </w:tr>
      <w:tr w:rsidR="00486CD8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86CD8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574993AD" w:rsidR="00486CD8" w:rsidRPr="00672933" w:rsidRDefault="00302CC8" w:rsidP="00302CC8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302CC8">
              <w:rPr>
                <w:rFonts w:ascii="Calibri Light" w:hAnsi="Calibri Light" w:cs="Calibri Light"/>
                <w:color w:val="000000"/>
                <w:lang w:eastAsia="it-IT"/>
              </w:rPr>
              <w:t>5.2. Promuovere lo sviluppo sociale, economico e ambientale integrato e inclusivo a livello locale, la cultura, il patrimonio naturale, il turismo sostenibile e la sicurezza nelle aree diverse da quelle urbane.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A5543B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A5543B" w:rsidRPr="00672933" w:rsidRDefault="00A5543B" w:rsidP="00A5543B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82B9" w14:textId="5B727C53" w:rsidR="00A5543B" w:rsidRPr="00672933" w:rsidRDefault="00A5543B" w:rsidP="00A5543B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285D21">
              <w:rPr>
                <w:rFonts w:ascii="Calibri Light" w:hAnsi="Calibri Light" w:cs="Calibri Light"/>
                <w:color w:val="000000" w:themeColor="text1"/>
                <w:lang w:eastAsia="it-IT"/>
              </w:rPr>
              <w:t>5.2.2 - Rafforzamento della capacità amministrativa delle Autorità Territoriali in termini di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competenze specialistiche, ecc. – in linea con quanto indicato dal </w:t>
            </w:r>
            <w:proofErr w:type="spellStart"/>
            <w:r w:rsidRPr="00285D21">
              <w:rPr>
                <w:rFonts w:ascii="Calibri Light" w:hAnsi="Calibri Light" w:cs="Calibri Light"/>
                <w:color w:val="000000" w:themeColor="text1"/>
                <w:lang w:eastAsia="it-IT"/>
              </w:rPr>
              <w:t>PRigA</w:t>
            </w:r>
            <w:proofErr w:type="spellEnd"/>
            <w:r w:rsidRPr="00285D21"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– delle strutture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color w:val="000000" w:themeColor="text1"/>
                <w:lang w:eastAsia="it-IT"/>
              </w:rPr>
              <w:t>amministrative impegnate nella selezione e gestione degli investimenti previsti nelle ST</w:t>
            </w:r>
          </w:p>
        </w:tc>
      </w:tr>
      <w:tr w:rsidR="00A5543B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0EE37231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A5543B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17917602" w:rsidR="00A5543B" w:rsidRPr="00672933" w:rsidRDefault="00A5543B" w:rsidP="00A5543B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  <w:r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.</w:t>
            </w:r>
          </w:p>
        </w:tc>
      </w:tr>
      <w:tr w:rsidR="00A5543B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A5543B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4C46A0E1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A5543B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A5543B" w:rsidRPr="00672933" w:rsidRDefault="00A5543B" w:rsidP="00A5543B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31943" w14:textId="4F8E4540" w:rsidR="00A5543B" w:rsidRPr="00672933" w:rsidRDefault="00A5543B" w:rsidP="00A5543B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L’azione è, secondo quanto previsto nel </w:t>
            </w:r>
            <w:proofErr w:type="spellStart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PRigA</w:t>
            </w:r>
            <w:proofErr w:type="spellEnd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, rivolta al potenziamento della capacità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dei Comuni delle Aree Interne per sviluppare le pipeline di progetto (potenziamento della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capacità di progettazione degli interventi da parte delle strutture tecnico-amministrative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dei Comuni) funzionali e coerenti alle Strategie. Tali pipeline di progetto riguarderanno,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pertanto, i settori di intervento previsti dal PR per le Strategie.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L’azione rivolta al potenziamento della capacità su indicata potrà essere proposta dalla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Autorità Territoriale seguendo il modello sotto riportato che include misure sostenute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anche a livello centrale (PN CAPCOE, Regione). In particolare, il modello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rafforzamento delle strutture tecnico amministrative dei Comuni dell’Area si articola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nell’acquisizione di servizi (ai sensi del </w:t>
            </w:r>
            <w:proofErr w:type="spellStart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D.lgs</w:t>
            </w:r>
            <w:proofErr w:type="spellEnd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36/23) e/o expertise specialistiche (ai sensi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del Dlgs 165/2001 </w:t>
            </w:r>
            <w:proofErr w:type="spellStart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s.m.i.</w:t>
            </w:r>
            <w:proofErr w:type="spellEnd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) per la qualificazione e </w:t>
            </w:r>
            <w:proofErr w:type="spellStart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capacitazione</w:t>
            </w:r>
            <w:proofErr w:type="spellEnd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degli Uffici, con eventuale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acquisizione della strumentazione tecnologica (residuale e comunque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correlata/funzionale all’attività di rafforzamento amministrativo).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Con riguardo alle azioni di reclutamento e formazione previste nel </w:t>
            </w:r>
            <w:proofErr w:type="spellStart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PRigA</w:t>
            </w:r>
            <w:proofErr w:type="spellEnd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, che non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gravano sulle risorse assegnate alla presente Azione, si rinvia a quanto previsto ed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avviato nel PN </w:t>
            </w:r>
            <w:proofErr w:type="spellStart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CapCoe</w:t>
            </w:r>
            <w:proofErr w:type="spellEnd"/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(assunzioni ex DL 124/2023, Centro servizi, formazione) e 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quanto previsto dall’art. 3 della LR n. 1 del 16 gennaio 2024, che stanzia risorse per le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285D21">
              <w:rPr>
                <w:rFonts w:ascii="Calibri Light" w:hAnsi="Calibri Light" w:cs="Calibri Light"/>
                <w:iCs/>
                <w:color w:val="000000"/>
                <w:lang w:eastAsia="it-IT"/>
              </w:rPr>
              <w:t>Aree, tra l’altro, per le assunzioni di personale a tempo determinato.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442940EE" w:rsidR="00486CD8" w:rsidRPr="00672933" w:rsidRDefault="00680152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-17534271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543B"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 w:rsidR="001B1DC1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150066B6" w:rsidR="00486CD8" w:rsidRPr="00672933" w:rsidRDefault="00680152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-72129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DC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66E83BAB" w:rsidR="00486CD8" w:rsidRPr="00672933" w:rsidRDefault="00680152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179687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543B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lastRenderedPageBreak/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Pr="00313BBD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E2F1A" w14:paraId="74600656" w14:textId="77777777" w:rsidTr="00EE2F1A">
        <w:tc>
          <w:tcPr>
            <w:tcW w:w="10790" w:type="dxa"/>
          </w:tcPr>
          <w:p w14:paraId="518B9F03" w14:textId="639A7EE0" w:rsidR="00EE2F1A" w:rsidRDefault="00A5543B" w:rsidP="00F31A8B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color w:val="000000" w:themeColor="text1"/>
              </w:rPr>
            </w:pPr>
            <w:r w:rsidRPr="00A5543B">
              <w:rPr>
                <w:rFonts w:ascii="Calibri Light" w:hAnsi="Calibri Light" w:cs="Calibri Light"/>
                <w:color w:val="000000" w:themeColor="text1"/>
              </w:rPr>
              <w:t>170 - Sviluppo delle capacità delle autorità di programma e degli organismi coinvolti nell'attuazione dei fondi</w:t>
            </w:r>
          </w:p>
        </w:tc>
      </w:tr>
    </w:tbl>
    <w:p w14:paraId="5E40831D" w14:textId="64352892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BF2D583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02608879" w:rsidR="00602A1D" w:rsidRPr="00C81507" w:rsidRDefault="00C81507" w:rsidP="00C81507">
                            <w:pPr>
                              <w:jc w:val="both"/>
                            </w:pPr>
                            <w:r w:rsidRPr="00C81507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Si tratta di interventi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che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non hanno 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nessun impatto,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(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né positivo né negativo)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sugli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obiettivi 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DNSH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EB727" id="_x0000_s1027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" fillcolor="white [3201]" strokeweight=".5pt">
                <v:path arrowok="t"/>
                <v:textbox>
                  <w:txbxContent>
                    <w:p w14:paraId="463F5CE8" w14:textId="02608879" w:rsidR="00602A1D" w:rsidRPr="00C81507" w:rsidRDefault="00C81507" w:rsidP="00C81507">
                      <w:pPr>
                        <w:jc w:val="both"/>
                      </w:pPr>
                      <w:r w:rsidRPr="00C81507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Si tratta di interventi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che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non hanno 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nessun impatto,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(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né positivo né negativo)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sugli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obiettivi 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DNSH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49651" w14:textId="77777777" w:rsidR="00527F77" w:rsidRDefault="00527F77">
      <w:r>
        <w:separator/>
      </w:r>
    </w:p>
  </w:endnote>
  <w:endnote w:type="continuationSeparator" w:id="0">
    <w:p w14:paraId="315B0230" w14:textId="77777777" w:rsidR="00527F77" w:rsidRDefault="00527F77">
      <w:r>
        <w:continuationSeparator/>
      </w:r>
    </w:p>
  </w:endnote>
  <w:endnote w:type="continuationNotice" w:id="1">
    <w:p w14:paraId="59AB0991" w14:textId="77777777" w:rsidR="00527F77" w:rsidRDefault="00527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82BB" w14:textId="77777777" w:rsidR="00527F77" w:rsidRDefault="00527F77">
      <w:r>
        <w:separator/>
      </w:r>
    </w:p>
  </w:footnote>
  <w:footnote w:type="continuationSeparator" w:id="0">
    <w:p w14:paraId="1B9C8E77" w14:textId="77777777" w:rsidR="00527F77" w:rsidRDefault="00527F77">
      <w:r>
        <w:continuationSeparator/>
      </w:r>
    </w:p>
  </w:footnote>
  <w:footnote w:type="continuationNotice" w:id="1">
    <w:p w14:paraId="355B72F5" w14:textId="77777777" w:rsidR="00527F77" w:rsidRDefault="00527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767582322">
    <w:abstractNumId w:val="16"/>
  </w:num>
  <w:num w:numId="2" w16cid:durableId="1083918896">
    <w:abstractNumId w:val="20"/>
  </w:num>
  <w:num w:numId="3" w16cid:durableId="245000980">
    <w:abstractNumId w:val="8"/>
  </w:num>
  <w:num w:numId="4" w16cid:durableId="219757429">
    <w:abstractNumId w:val="13"/>
  </w:num>
  <w:num w:numId="5" w16cid:durableId="968127542">
    <w:abstractNumId w:val="18"/>
  </w:num>
  <w:num w:numId="6" w16cid:durableId="1755086715">
    <w:abstractNumId w:val="15"/>
  </w:num>
  <w:num w:numId="7" w16cid:durableId="796879354">
    <w:abstractNumId w:val="5"/>
  </w:num>
  <w:num w:numId="8" w16cid:durableId="2048867521">
    <w:abstractNumId w:val="17"/>
  </w:num>
  <w:num w:numId="9" w16cid:durableId="130950075">
    <w:abstractNumId w:val="3"/>
  </w:num>
  <w:num w:numId="10" w16cid:durableId="1342245677">
    <w:abstractNumId w:val="19"/>
  </w:num>
  <w:num w:numId="11" w16cid:durableId="1019041671">
    <w:abstractNumId w:val="14"/>
  </w:num>
  <w:num w:numId="12" w16cid:durableId="1123302741">
    <w:abstractNumId w:val="6"/>
  </w:num>
  <w:num w:numId="13" w16cid:durableId="2143420622">
    <w:abstractNumId w:val="10"/>
  </w:num>
  <w:num w:numId="14" w16cid:durableId="1694574625">
    <w:abstractNumId w:val="14"/>
  </w:num>
  <w:num w:numId="15" w16cid:durableId="7802478">
    <w:abstractNumId w:val="1"/>
  </w:num>
  <w:num w:numId="16" w16cid:durableId="969700278">
    <w:abstractNumId w:val="7"/>
  </w:num>
  <w:num w:numId="17" w16cid:durableId="640310767">
    <w:abstractNumId w:val="4"/>
  </w:num>
  <w:num w:numId="18" w16cid:durableId="1464344103">
    <w:abstractNumId w:val="4"/>
    <w:lvlOverride w:ilvl="0">
      <w:startOverride w:val="1"/>
    </w:lvlOverride>
  </w:num>
  <w:num w:numId="19" w16cid:durableId="1648431687">
    <w:abstractNumId w:val="12"/>
  </w:num>
  <w:num w:numId="20" w16cid:durableId="259918324">
    <w:abstractNumId w:val="2"/>
  </w:num>
  <w:num w:numId="21" w16cid:durableId="1138180121">
    <w:abstractNumId w:val="9"/>
  </w:num>
  <w:num w:numId="22" w16cid:durableId="135340799">
    <w:abstractNumId w:val="9"/>
  </w:num>
  <w:num w:numId="23" w16cid:durableId="1808084030">
    <w:abstractNumId w:val="11"/>
  </w:num>
  <w:num w:numId="24" w16cid:durableId="63799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10949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30E40"/>
    <w:rsid w:val="001454EB"/>
    <w:rsid w:val="00177E03"/>
    <w:rsid w:val="00180686"/>
    <w:rsid w:val="0019296C"/>
    <w:rsid w:val="001B1C7D"/>
    <w:rsid w:val="001B1DC1"/>
    <w:rsid w:val="001B23FC"/>
    <w:rsid w:val="001C49FE"/>
    <w:rsid w:val="001C4C77"/>
    <w:rsid w:val="00260D68"/>
    <w:rsid w:val="002646A1"/>
    <w:rsid w:val="002B12CE"/>
    <w:rsid w:val="002C3E9C"/>
    <w:rsid w:val="002C55D9"/>
    <w:rsid w:val="002F1542"/>
    <w:rsid w:val="00302CC8"/>
    <w:rsid w:val="00313BBD"/>
    <w:rsid w:val="00322B54"/>
    <w:rsid w:val="00377C38"/>
    <w:rsid w:val="003D7F9F"/>
    <w:rsid w:val="00406D94"/>
    <w:rsid w:val="004278BE"/>
    <w:rsid w:val="00434A80"/>
    <w:rsid w:val="00450FA0"/>
    <w:rsid w:val="00485361"/>
    <w:rsid w:val="00486CD8"/>
    <w:rsid w:val="004C733B"/>
    <w:rsid w:val="004E10B4"/>
    <w:rsid w:val="004E3509"/>
    <w:rsid w:val="005114C9"/>
    <w:rsid w:val="00527F77"/>
    <w:rsid w:val="00530ADB"/>
    <w:rsid w:val="00542E61"/>
    <w:rsid w:val="00542E69"/>
    <w:rsid w:val="00543496"/>
    <w:rsid w:val="005479EF"/>
    <w:rsid w:val="0055197E"/>
    <w:rsid w:val="0058456E"/>
    <w:rsid w:val="00596AAB"/>
    <w:rsid w:val="005D6885"/>
    <w:rsid w:val="005F04BF"/>
    <w:rsid w:val="00602A1D"/>
    <w:rsid w:val="00650499"/>
    <w:rsid w:val="006C62F8"/>
    <w:rsid w:val="00703BF9"/>
    <w:rsid w:val="00715E76"/>
    <w:rsid w:val="00775294"/>
    <w:rsid w:val="00795239"/>
    <w:rsid w:val="007B4803"/>
    <w:rsid w:val="007C711B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85585"/>
    <w:rsid w:val="00997B0C"/>
    <w:rsid w:val="009B6A5B"/>
    <w:rsid w:val="009C06E1"/>
    <w:rsid w:val="009E46E3"/>
    <w:rsid w:val="00A0473E"/>
    <w:rsid w:val="00A160F0"/>
    <w:rsid w:val="00A215E8"/>
    <w:rsid w:val="00A271AC"/>
    <w:rsid w:val="00A379AC"/>
    <w:rsid w:val="00A40F57"/>
    <w:rsid w:val="00A5182A"/>
    <w:rsid w:val="00A5543B"/>
    <w:rsid w:val="00A70D78"/>
    <w:rsid w:val="00AB657F"/>
    <w:rsid w:val="00AD5453"/>
    <w:rsid w:val="00AE1DAE"/>
    <w:rsid w:val="00B23505"/>
    <w:rsid w:val="00B35FF6"/>
    <w:rsid w:val="00B42557"/>
    <w:rsid w:val="00B64EF8"/>
    <w:rsid w:val="00B93A8C"/>
    <w:rsid w:val="00BB78A2"/>
    <w:rsid w:val="00BD3721"/>
    <w:rsid w:val="00BE0B02"/>
    <w:rsid w:val="00C078D3"/>
    <w:rsid w:val="00C14EFE"/>
    <w:rsid w:val="00C24FF2"/>
    <w:rsid w:val="00C51029"/>
    <w:rsid w:val="00C71D21"/>
    <w:rsid w:val="00C81507"/>
    <w:rsid w:val="00C86042"/>
    <w:rsid w:val="00C9411C"/>
    <w:rsid w:val="00CA274A"/>
    <w:rsid w:val="00CA397D"/>
    <w:rsid w:val="00CA425A"/>
    <w:rsid w:val="00CE0CC8"/>
    <w:rsid w:val="00D01D65"/>
    <w:rsid w:val="00D21665"/>
    <w:rsid w:val="00D32794"/>
    <w:rsid w:val="00D40F39"/>
    <w:rsid w:val="00D66151"/>
    <w:rsid w:val="00D70098"/>
    <w:rsid w:val="00D86B19"/>
    <w:rsid w:val="00DF07FD"/>
    <w:rsid w:val="00E458F2"/>
    <w:rsid w:val="00E502B8"/>
    <w:rsid w:val="00E64E3A"/>
    <w:rsid w:val="00E925B9"/>
    <w:rsid w:val="00E9625F"/>
    <w:rsid w:val="00EB1EA5"/>
    <w:rsid w:val="00EC7ACC"/>
    <w:rsid w:val="00ED669D"/>
    <w:rsid w:val="00EE2F1A"/>
    <w:rsid w:val="00F25EDE"/>
    <w:rsid w:val="00F31A8B"/>
    <w:rsid w:val="00F93641"/>
    <w:rsid w:val="00FA2D3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69C04-DBBD-4469-A987-3C988007CD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EFBFA9-23D0-43DC-A9CA-5B2205E44F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26</cp:revision>
  <dcterms:created xsi:type="dcterms:W3CDTF">2025-02-10T10:36:00Z</dcterms:created>
  <dcterms:modified xsi:type="dcterms:W3CDTF">2025-04-03T15:52:00Z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