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A447" w14:textId="77777777" w:rsidR="00530ADB" w:rsidRDefault="00530ADB" w:rsidP="00530AD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B58B2D0" w14:textId="095780BE" w:rsidR="00C14EFE" w:rsidRPr="00EC7ACC" w:rsidRDefault="00AE1DAE" w:rsidP="00530ADB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22843">
        <w:rPr>
          <w:rFonts w:ascii="Calibri Light" w:hAnsi="Calibri Light"/>
          <w:bCs w:val="0"/>
          <w:color w:val="2E74B5"/>
          <w:sz w:val="28"/>
          <w:szCs w:val="28"/>
        </w:rPr>
        <w:t xml:space="preserve">8 </w:t>
      </w: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EC7ACC">
        <w:rPr>
          <w:rFonts w:ascii="Calibri Light" w:hAnsi="Calibri Light"/>
          <w:bCs w:val="0"/>
          <w:color w:val="2E74B5"/>
          <w:sz w:val="28"/>
          <w:szCs w:val="28"/>
        </w:rPr>
        <w:t>“Formulario di verifica semplificata del principio DNSH”</w:t>
      </w:r>
    </w:p>
    <w:p w14:paraId="294CCA1B" w14:textId="77777777" w:rsidR="00AE1DAE" w:rsidRDefault="00AE1DAE" w:rsidP="00C14E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DF2C234" w14:textId="34585B98" w:rsidR="002F1542" w:rsidRPr="00CA397D" w:rsidRDefault="00CA397D" w:rsidP="002F1542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>Sezione I - Anagrafica</w:t>
      </w:r>
    </w:p>
    <w:p w14:paraId="7031DEED" w14:textId="77777777" w:rsidR="000C0950" w:rsidRDefault="000C0950"/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486CD8" w:rsidRPr="00672933" w14:paraId="4B2872C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696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E13BC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68E8" w14:textId="127721D8" w:rsidR="00486CD8" w:rsidRPr="00672933" w:rsidRDefault="009E46E3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6 Verso le Strategie di sviluppo</w:t>
            </w:r>
            <w:r>
              <w:rPr>
                <w:rFonts w:ascii="Calibri Light" w:hAnsi="Calibri Light" w:cs="Calibri Light"/>
                <w:color w:val="000000"/>
                <w:lang w:eastAsia="it-IT"/>
              </w:rPr>
              <w:t xml:space="preserve"> </w:t>
            </w:r>
            <w:r w:rsidRPr="00251EC4">
              <w:rPr>
                <w:rFonts w:ascii="Calibri Light" w:hAnsi="Calibri Light" w:cs="Calibri Light"/>
                <w:color w:val="000000"/>
                <w:lang w:eastAsia="it-IT"/>
              </w:rPr>
              <w:t>territoriale in Sicilia</w:t>
            </w:r>
          </w:p>
        </w:tc>
      </w:tr>
      <w:tr w:rsidR="00486CD8" w:rsidRPr="00672933" w14:paraId="58F4545E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C84F13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85BC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D647A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86CD8" w:rsidRPr="00672933" w14:paraId="1FB7D9C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6EE5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8C0B60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F5" w14:textId="574993AD" w:rsidR="00486CD8" w:rsidRPr="00672933" w:rsidRDefault="00302CC8" w:rsidP="00302CC8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302CC8">
              <w:rPr>
                <w:rFonts w:ascii="Calibri Light" w:hAnsi="Calibri Light" w:cs="Calibri Light"/>
                <w:color w:val="000000"/>
                <w:lang w:eastAsia="it-IT"/>
              </w:rPr>
              <w:t>5.2. Promuovere lo sviluppo sociale, economico e ambientale integrato e inclusivo a livello locale, la cultura, il patrimonio naturale, il turismo sostenibile e la sicurezza nelle aree diverse da quelle urbane.</w:t>
            </w:r>
          </w:p>
        </w:tc>
      </w:tr>
      <w:tr w:rsidR="00486CD8" w:rsidRPr="00672933" w14:paraId="4319952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29962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25C9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6E19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EE2F1A" w:rsidRPr="00672933" w14:paraId="0BFBD23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90707" w14:textId="7CF2B63D" w:rsidR="00EE2F1A" w:rsidRPr="00672933" w:rsidRDefault="00EE2F1A" w:rsidP="00EE2F1A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5F4074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82B9" w14:textId="7FCE3785" w:rsidR="00EE2F1A" w:rsidRPr="00672933" w:rsidRDefault="00EE2F1A" w:rsidP="00EE2F1A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EE2350">
              <w:rPr>
                <w:rFonts w:ascii="Calibri Light" w:hAnsi="Calibri Light" w:cs="Calibri Light"/>
                <w:color w:val="000000" w:themeColor="text1"/>
                <w:lang w:eastAsia="it-IT"/>
              </w:rPr>
              <w:t>5.2.1.19 – Sostegno alla preparazione delle Strategie</w:t>
            </w:r>
          </w:p>
        </w:tc>
      </w:tr>
      <w:tr w:rsidR="00EE2F1A" w:rsidRPr="00672933" w14:paraId="494095F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6E1B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F1C1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BF3AD3" w14:textId="78C47283" w:rsidR="00EE2F1A" w:rsidRPr="00672933" w:rsidRDefault="00EE2F1A" w:rsidP="00EE2F1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EE2F1A" w:rsidRPr="00672933" w14:paraId="3A9EC906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5A1A8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1D79913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F16" w14:textId="328A8827" w:rsidR="00EE2F1A" w:rsidRPr="00672933" w:rsidRDefault="00EE2F1A" w:rsidP="00EE2F1A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A94C0F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Lettera di invito - Procedura negoziale di cui al Vademecum per la selezione delle operazioni da parte delle Autorità Territoriali a valere sul PR FESR 2021-2027 - Allegato B) al DDG n. 777 del 14.11.2024</w:t>
            </w:r>
            <w:r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.</w:t>
            </w:r>
          </w:p>
        </w:tc>
      </w:tr>
      <w:tr w:rsidR="00EE2F1A" w:rsidRPr="00672933" w14:paraId="6BD54479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2B056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83C62F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6C521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EE2F1A" w:rsidRPr="00672933" w14:paraId="6A7642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B0CCB7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84EF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BAB9C9" w14:textId="21DE4E04" w:rsidR="00EE2F1A" w:rsidRPr="00672933" w:rsidRDefault="00EE2F1A" w:rsidP="00EE2F1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EE2F1A" w:rsidRPr="00672933" w14:paraId="136D240A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EA4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14F836" w14:textId="77777777" w:rsidR="00EE2F1A" w:rsidRPr="00672933" w:rsidRDefault="00EE2F1A" w:rsidP="00EE2F1A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31943" w14:textId="54CF8F34" w:rsidR="00EE2F1A" w:rsidRPr="00672933" w:rsidRDefault="00EE2F1A" w:rsidP="00EE2F1A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EE2350">
              <w:rPr>
                <w:rFonts w:ascii="Calibri Light" w:hAnsi="Calibri Light" w:cs="Calibri Light"/>
                <w:iCs/>
                <w:color w:val="000000"/>
                <w:lang w:eastAsia="it-IT"/>
              </w:rPr>
              <w:t>Acquisizione di competenze specialistiche – in linea con quanto indicato dal PRigA –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EE2350">
              <w:rPr>
                <w:rFonts w:ascii="Calibri Light" w:hAnsi="Calibri Light" w:cs="Calibri Light"/>
                <w:iCs/>
                <w:color w:val="000000"/>
                <w:lang w:eastAsia="it-IT"/>
              </w:rPr>
              <w:t>finalizzata al rafforzamento della capacità amministrativa delle strutture dell’Autorità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EE2350">
              <w:rPr>
                <w:rFonts w:ascii="Calibri Light" w:hAnsi="Calibri Light" w:cs="Calibri Light"/>
                <w:iCs/>
                <w:color w:val="000000"/>
                <w:lang w:eastAsia="it-IT"/>
              </w:rPr>
              <w:t>territoriale (Ufficio Comune) impegnate nella selezione e gestione degli investimenti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EE2350">
              <w:rPr>
                <w:rFonts w:ascii="Calibri Light" w:hAnsi="Calibri Light" w:cs="Calibri Light"/>
                <w:iCs/>
                <w:color w:val="000000"/>
                <w:lang w:eastAsia="it-IT"/>
              </w:rPr>
              <w:t>delle ST (es: studi e analisi finalizzati alla programmazione e attuazione degli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EE2350">
              <w:rPr>
                <w:rFonts w:ascii="Calibri Light" w:hAnsi="Calibri Light" w:cs="Calibri Light"/>
                <w:iCs/>
                <w:color w:val="000000"/>
                <w:lang w:eastAsia="it-IT"/>
              </w:rPr>
              <w:t>investimenti della ST, supporto specialistico nei processi di programmazione ed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EE2350">
              <w:rPr>
                <w:rFonts w:ascii="Calibri Light" w:hAnsi="Calibri Light" w:cs="Calibri Light"/>
                <w:iCs/>
                <w:color w:val="000000"/>
                <w:lang w:eastAsia="it-IT"/>
              </w:rPr>
              <w:t>attuazione, supporto nei processi di gestione dei partenariati locali e istituzionali,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EE2350">
              <w:rPr>
                <w:rFonts w:ascii="Calibri Light" w:hAnsi="Calibri Light" w:cs="Calibri Light"/>
                <w:iCs/>
                <w:color w:val="000000"/>
                <w:lang w:eastAsia="it-IT"/>
              </w:rPr>
              <w:t>acquisizione di strumentazione per la programmazione e gestione degli investimenti</w:t>
            </w:r>
            <w:r>
              <w:rPr>
                <w:rFonts w:ascii="Calibri Light" w:hAnsi="Calibri Light" w:cs="Calibri Light"/>
                <w:iCs/>
                <w:color w:val="000000"/>
                <w:lang w:eastAsia="it-IT"/>
              </w:rPr>
              <w:t xml:space="preserve"> </w:t>
            </w:r>
            <w:r w:rsidRPr="00EE2350">
              <w:rPr>
                <w:rFonts w:ascii="Calibri Light" w:hAnsi="Calibri Light" w:cs="Calibri Light"/>
                <w:iCs/>
                <w:color w:val="000000"/>
                <w:lang w:eastAsia="it-IT"/>
              </w:rPr>
              <w:t>della ST, ecc.).</w:t>
            </w:r>
          </w:p>
        </w:tc>
      </w:tr>
      <w:tr w:rsidR="00486CD8" w:rsidRPr="00672933" w14:paraId="33FAC68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0C617B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15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75F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 </w:t>
            </w:r>
          </w:p>
        </w:tc>
      </w:tr>
      <w:tr w:rsidR="00486CD8" w:rsidRPr="00672933" w14:paraId="05716BA4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C27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58F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F059" w14:textId="7A213231" w:rsidR="00486CD8" w:rsidRPr="00672933" w:rsidRDefault="001B1DC1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sdt>
              <w:sdtPr>
                <w:rPr>
                  <w:rFonts w:ascii="Calibri Light" w:hAnsi="Calibri Light"/>
                  <w:b/>
                  <w:bCs/>
                </w:rPr>
                <w:id w:val="-1753427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</w:t>
            </w:r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OO.PP. beni e servizi a regia</w:t>
            </w:r>
          </w:p>
        </w:tc>
      </w:tr>
      <w:tr w:rsidR="00486CD8" w:rsidRPr="00672933" w14:paraId="613BFDD1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15DE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C2D4B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6BA2" w14:textId="150066B6" w:rsidR="00486CD8" w:rsidRPr="00672933" w:rsidRDefault="001B1DC1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sdt>
              <w:sdtPr>
                <w:rPr>
                  <w:rFonts w:ascii="Calibri Light" w:hAnsi="Calibri Light"/>
                  <w:b/>
                  <w:bCs/>
                </w:rPr>
                <w:id w:val="-72129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Aiuti a titolarità</w:t>
            </w:r>
          </w:p>
        </w:tc>
      </w:tr>
      <w:tr w:rsidR="00486CD8" w:rsidRPr="00672933" w14:paraId="671B3D0D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51E3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4A49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ACFD" w14:textId="748287CF" w:rsidR="00486CD8" w:rsidRPr="00672933" w:rsidRDefault="001B1DC1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sdt>
              <w:sdtPr>
                <w:rPr>
                  <w:rFonts w:ascii="Calibri Light" w:hAnsi="Calibri Light"/>
                  <w:b/>
                  <w:bCs/>
                </w:rPr>
                <w:id w:val="1796872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bCs/>
                  </w:rPr>
                  <w:t>☒</w:t>
                </w:r>
              </w:sdtContent>
            </w:sdt>
            <w:r w:rsidR="00486CD8"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 xml:space="preserve"> OO.PP. beni e servizi a titolarità</w:t>
            </w:r>
          </w:p>
        </w:tc>
      </w:tr>
    </w:tbl>
    <w:p w14:paraId="16D39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12BB4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2E90A864" w14:textId="324AFDAF" w:rsidR="00F31A8B" w:rsidRPr="00A379AC" w:rsidRDefault="00F31A8B" w:rsidP="00F31A8B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Sezione II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Valutazione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</w:p>
    <w:p w14:paraId="7E98BE78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4CFFFFF" w14:textId="77777777" w:rsidR="00F31A8B" w:rsidRDefault="00F31A8B" w:rsidP="00F31A8B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C81507" w14:paraId="61F24BD7" w14:textId="77777777" w:rsidTr="00C81507">
        <w:tc>
          <w:tcPr>
            <w:tcW w:w="10790" w:type="dxa"/>
          </w:tcPr>
          <w:p w14:paraId="2EBCCB8C" w14:textId="77777777" w:rsidR="00C81507" w:rsidRPr="009903E9" w:rsidRDefault="00C81507" w:rsidP="00C81507">
            <w:pPr>
              <w:jc w:val="center"/>
              <w:rPr>
                <w:rFonts w:ascii="Calibri Light" w:hAnsi="Calibri Light" w:cs="Calibri Light"/>
                <w:i/>
                <w:iCs/>
              </w:rPr>
            </w:pPr>
            <w:r w:rsidRPr="00C81507">
              <w:rPr>
                <w:rFonts w:ascii="Calibri Light" w:hAnsi="Calibri Light" w:cs="Calibri Light"/>
                <w:i/>
                <w:iCs/>
                <w:highlight w:val="yellow"/>
              </w:rPr>
              <w:t xml:space="preserve">descrivere brevemente le caratteristiche tecniche dell’intervento che confermano la coerenza </w:t>
            </w:r>
            <w:r w:rsidRPr="00C81507">
              <w:rPr>
                <w:rFonts w:ascii="Calibri Light" w:hAnsi="Calibri Light" w:cs="Calibri Light"/>
                <w:i/>
                <w:iCs/>
                <w:color w:val="000000" w:themeColor="text1"/>
                <w:highlight w:val="yellow"/>
              </w:rPr>
              <w:t>con le finalità del PR FESR 2021-2027</w:t>
            </w:r>
            <w:r w:rsidRPr="009903E9">
              <w:rPr>
                <w:rFonts w:ascii="Calibri Light" w:hAnsi="Calibri Light" w:cs="Calibri Light"/>
                <w:i/>
                <w:iCs/>
                <w:color w:val="000000" w:themeColor="text1"/>
              </w:rPr>
              <w:t xml:space="preserve"> </w:t>
            </w:r>
          </w:p>
          <w:p w14:paraId="4A7ABEB0" w14:textId="77777777" w:rsidR="00C81507" w:rsidRDefault="00C81507" w:rsidP="00C81507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i/>
                <w:iCs/>
                <w:color w:val="000000" w:themeColor="text1"/>
              </w:rPr>
            </w:pPr>
          </w:p>
        </w:tc>
      </w:tr>
    </w:tbl>
    <w:p w14:paraId="71D5A2AC" w14:textId="77777777" w:rsidR="00C81507" w:rsidRPr="009E4103" w:rsidRDefault="00C81507" w:rsidP="00C81507">
      <w:pPr>
        <w:pStyle w:val="Paragrafoelenco"/>
        <w:ind w:left="720"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</w:p>
    <w:p w14:paraId="78548A09" w14:textId="40A50D68" w:rsidR="00F31A8B" w:rsidRPr="00313BBD" w:rsidRDefault="00F31A8B" w:rsidP="00AB657F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10070"/>
      </w:tblGrid>
      <w:tr w:rsidR="00EE2F1A" w14:paraId="74600656" w14:textId="77777777" w:rsidTr="00EE2F1A">
        <w:tc>
          <w:tcPr>
            <w:tcW w:w="10790" w:type="dxa"/>
          </w:tcPr>
          <w:p w14:paraId="518B9F03" w14:textId="205045D2" w:rsidR="00EE2F1A" w:rsidRDefault="00EE2F1A" w:rsidP="00F31A8B">
            <w:pPr>
              <w:pStyle w:val="Paragrafoelenco"/>
              <w:ind w:left="0" w:right="418"/>
              <w:jc w:val="both"/>
              <w:rPr>
                <w:rFonts w:ascii="Calibri Light" w:hAnsi="Calibri Light" w:cs="Calibri Light"/>
                <w:color w:val="000000" w:themeColor="text1"/>
              </w:rPr>
            </w:pPr>
            <w:r w:rsidRPr="00EE2F1A">
              <w:rPr>
                <w:rFonts w:ascii="Calibri Light" w:hAnsi="Calibri Light" w:cs="Calibri Light"/>
                <w:color w:val="000000" w:themeColor="text1"/>
              </w:rPr>
              <w:t>169 - Iniziative di sviluppo territoriale, compresa l'elaborazione di strategie territoriali</w:t>
            </w:r>
          </w:p>
        </w:tc>
      </w:tr>
    </w:tbl>
    <w:p w14:paraId="5E40831D" w14:textId="64352892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BF2D583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21D5DDE8" w14:textId="02F03007" w:rsidR="00602A1D" w:rsidRPr="00313BBD" w:rsidRDefault="00A0473E" w:rsidP="00602A1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</w:t>
      </w:r>
      <w:r w:rsidR="00602A1D">
        <w:rPr>
          <w:rFonts w:ascii="Calibri Light" w:hAnsi="Calibri Light" w:cs="Calibri Light"/>
          <w:color w:val="000000" w:themeColor="text1"/>
        </w:rPr>
        <w:t xml:space="preserve">lementi esaminati </w:t>
      </w:r>
      <w:r>
        <w:rPr>
          <w:rFonts w:ascii="Calibri Light" w:hAnsi="Calibri Light" w:cs="Calibri Light"/>
          <w:color w:val="000000" w:themeColor="text1"/>
        </w:rPr>
        <w:t xml:space="preserve">nella valutazione semplificata </w:t>
      </w:r>
      <w:r w:rsidR="00602A1D">
        <w:rPr>
          <w:rFonts w:ascii="Calibri Light" w:hAnsi="Calibri Light" w:cs="Calibri Light"/>
          <w:color w:val="000000" w:themeColor="text1"/>
        </w:rPr>
        <w:t>e conseguente giudizio</w:t>
      </w:r>
      <w:r w:rsidR="00602A1D"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24AED55D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EB727" wp14:editId="2A95158E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F5CE8" w14:textId="02608879" w:rsidR="00602A1D" w:rsidRPr="00C81507" w:rsidRDefault="00C81507" w:rsidP="00C81507">
                            <w:pPr>
                              <w:jc w:val="both"/>
                            </w:pPr>
                            <w:r w:rsidRPr="00C81507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Si tratta di interventi </w:t>
                            </w:r>
                            <w:r w:rsid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che</w:t>
                            </w:r>
                            <w:r w:rsidR="00DF07FD" w:rsidRP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non hanno 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nessun impatto,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(</w:t>
                            </w:r>
                            <w:r w:rsidR="00542E69" w:rsidRP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né positivo né negativo) 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sugli </w:t>
                            </w:r>
                            <w:r w:rsid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 xml:space="preserve">obiettivi </w:t>
                            </w:r>
                            <w:r w:rsidR="00DF07FD" w:rsidRPr="00DF07FD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DNSH</w:t>
                            </w:r>
                            <w:r w:rsidR="00542E69">
                              <w:rPr>
                                <w:rFonts w:ascii="Calibri Light" w:hAnsi="Calibri Light" w:cs="Calibri Light"/>
                                <w:iCs/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0EB727" id="_x0000_s1027" type="#_x0000_t202" style="position:absolute;left:0;text-align:left;margin-left:35.1pt;margin-top:6.2pt;width:479pt;height:7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" fillcolor="white [3201]" strokeweight=".5pt">
                <v:path arrowok="t"/>
                <v:textbox>
                  <w:txbxContent>
                    <w:p w14:paraId="463F5CE8" w14:textId="02608879" w:rsidR="00602A1D" w:rsidRPr="00C81507" w:rsidRDefault="00C81507" w:rsidP="00C81507">
                      <w:pPr>
                        <w:jc w:val="both"/>
                      </w:pPr>
                      <w:r w:rsidRPr="00C81507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Si tratta di interventi </w:t>
                      </w:r>
                      <w:r w:rsid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che</w:t>
                      </w:r>
                      <w:r w:rsidR="00DF07FD" w:rsidRP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non hanno 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nessun impatto,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(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né positivo né negativo)</w:t>
                      </w:r>
                      <w:r w:rsidR="00542E69" w:rsidRP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 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sugli </w:t>
                      </w:r>
                      <w:r w:rsid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 xml:space="preserve">obiettivi </w:t>
                      </w:r>
                      <w:r w:rsidR="00DF07FD" w:rsidRPr="00DF07FD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DNSH</w:t>
                      </w:r>
                      <w:r w:rsidR="00542E69">
                        <w:rPr>
                          <w:rFonts w:ascii="Calibri Light" w:hAnsi="Calibri Light" w:cs="Calibri Light"/>
                          <w:iCs/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3C2095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7BADF21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244823B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7B183AE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8D3063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A5D1500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F7BE2BC" w14:textId="77777777" w:rsidR="00A0473E" w:rsidRDefault="00A0473E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B096E" w14:textId="5752C6DD" w:rsidR="00A0473E" w:rsidRPr="00A379AC" w:rsidRDefault="00A0473E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bookmarkStart w:id="0" w:name="_Hlk164269521"/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 che le attività previste nell’ambito dell’operazione da ammettere a finanziamento – coerentemente a quanto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valutato in fase di VAS in relazione ai pertinenti settori di intervento – non arrecano danno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significativo ai sensi dell’art. 17 del Regolamento (UE)2020/852</w:t>
      </w:r>
      <w:r>
        <w:rPr>
          <w:rFonts w:ascii="Calibri Light" w:hAnsi="Calibri Light" w:cs="Calibri Light"/>
          <w:color w:val="000000" w:themeColor="text1"/>
        </w:rPr>
        <w:t>, nello specifico:</w:t>
      </w:r>
      <w:bookmarkEnd w:id="0"/>
    </w:p>
    <w:p w14:paraId="623C4E92" w14:textId="77777777" w:rsidR="00085E6F" w:rsidRPr="00A0473E" w:rsidRDefault="00085E6F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E2C7C" w14:textId="56C350E9" w:rsidR="00AE1DAE" w:rsidRPr="00A379AC" w:rsidRDefault="00085E6F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producono significative emissioni di gas serra (GHG);</w:t>
      </w:r>
    </w:p>
    <w:p w14:paraId="5A5AFEE7" w14:textId="1E03E246" w:rsidR="00AE1DAE" w:rsidRPr="00A379AC" w:rsidRDefault="00AE1DAE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non determinano un maggiore impatto negativo del clima attuale e futuro, sull'attività stessa o sulle persone, sulla natura o sui beni;</w:t>
      </w:r>
    </w:p>
    <w:p w14:paraId="4AC423D2" w14:textId="77777777" w:rsidR="00A379AC" w:rsidRDefault="00AE1DAE" w:rsidP="00A379AC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085E6F" w:rsidRPr="00A379AC">
        <w:rPr>
          <w:rFonts w:ascii="Calibri Light" w:hAnsi="Calibri Light" w:cs="Calibri Light"/>
          <w:color w:val="000000" w:themeColor="text1"/>
        </w:rPr>
        <w:t xml:space="preserve">risultano </w:t>
      </w:r>
      <w:r w:rsidRPr="00A379AC">
        <w:rPr>
          <w:rFonts w:ascii="Calibri Light" w:hAnsi="Calibri Light" w:cs="Calibri Light"/>
          <w:color w:val="000000" w:themeColor="text1"/>
        </w:rPr>
        <w:t xml:space="preserve">dannose per il buono stato dei corpi idrici (superficiali, sotterranei o marini) determinandone il loro deterioramento qualitativo o la riduzione del potenziale ecologico; </w:t>
      </w:r>
    </w:p>
    <w:p w14:paraId="3F28CD50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A379AC">
        <w:rPr>
          <w:rFonts w:ascii="Calibri Light" w:hAnsi="Calibri Light" w:cs="Calibri Light"/>
          <w:color w:val="000000" w:themeColor="text1"/>
        </w:rPr>
        <w:t>porta</w:t>
      </w:r>
      <w:r w:rsidRPr="00A379AC">
        <w:rPr>
          <w:rFonts w:ascii="Calibri Light" w:hAnsi="Calibri Light" w:cs="Calibri Light"/>
          <w:color w:val="000000" w:themeColor="text1"/>
        </w:rPr>
        <w:t>no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termine;</w:t>
      </w:r>
    </w:p>
    <w:p w14:paraId="01AE1DED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 xml:space="preserve">non </w:t>
      </w:r>
      <w:r w:rsidR="00AE1DAE" w:rsidRPr="005479EF">
        <w:rPr>
          <w:rFonts w:ascii="Calibri Light" w:hAnsi="Calibri Light" w:cs="Calibri Light"/>
          <w:color w:val="000000" w:themeColor="text1"/>
        </w:rPr>
        <w:t>determina</w:t>
      </w:r>
      <w:r w:rsidRPr="005479EF">
        <w:rPr>
          <w:rFonts w:ascii="Calibri Light" w:hAnsi="Calibri Light" w:cs="Calibri Light"/>
          <w:color w:val="000000" w:themeColor="text1"/>
        </w:rPr>
        <w:t>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un aumento delle emissioni di inquinanti nell'aria, nell'acqua o nel suolo;</w:t>
      </w:r>
    </w:p>
    <w:p w14:paraId="42B0C002" w14:textId="65BF946E" w:rsidR="00AE1DAE" w:rsidRP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r w:rsidRPr="005479EF">
        <w:rPr>
          <w:rFonts w:ascii="Calibri Light" w:hAnsi="Calibri Light" w:cs="Calibri Light"/>
          <w:color w:val="000000" w:themeColor="text1"/>
        </w:rPr>
        <w:t>non sono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dannos</w:t>
      </w:r>
      <w:r w:rsidRPr="005479EF">
        <w:rPr>
          <w:rFonts w:ascii="Calibri Light" w:hAnsi="Calibri Light" w:cs="Calibri Light"/>
          <w:color w:val="000000" w:themeColor="text1"/>
        </w:rPr>
        <w:t>e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per le buone condizioni e resilienza degli ecosistemi o per lo stato di conservazione degli habitat e delle specie, comprese quelle di interesse per l'Unione europea.</w:t>
      </w:r>
    </w:p>
    <w:p w14:paraId="196DE013" w14:textId="77777777" w:rsidR="00085E6F" w:rsidRPr="00A379AC" w:rsidRDefault="00085E6F" w:rsidP="00085E6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B84228B" w14:textId="77777777" w:rsidR="00AE1DAE" w:rsidRPr="00A379AC" w:rsidRDefault="00AE1DAE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CCE5F60" w14:textId="77777777" w:rsidR="00085E6F" w:rsidRPr="00A379AC" w:rsidRDefault="00085E6F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7BD4A06" w14:textId="5BE90C42" w:rsidR="00D32794" w:rsidRPr="00A379AC" w:rsidRDefault="000F3C52" w:rsidP="008D28A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Data ................................................</w:t>
      </w:r>
      <w:r w:rsidR="004278BE" w:rsidRPr="00A379AC">
        <w:rPr>
          <w:rFonts w:ascii="Calibri Light" w:hAnsi="Calibri Light" w:cs="Calibri Light"/>
          <w:color w:val="000000" w:themeColor="text1"/>
        </w:rPr>
        <w:t xml:space="preserve">                               </w:t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A0473E" w:rsidRPr="00985262">
        <w:rPr>
          <w:rStyle w:val="normaltextrun"/>
          <w:rFonts w:ascii="Calibri Light" w:hAnsi="Calibri Light" w:cs="Calibri Light"/>
          <w:color w:val="000000"/>
        </w:rPr>
        <w:t>Il Responsabile</w:t>
      </w:r>
      <w:r w:rsidR="00A0473E" w:rsidRPr="00985262"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A0473E">
        <w:rPr>
          <w:rStyle w:val="normaltextrun"/>
          <w:rFonts w:ascii="Calibri Light" w:hAnsi="Calibri Light" w:cs="Calibri Light"/>
          <w:color w:val="000000"/>
        </w:rPr>
        <w:t>UCO [firmato digitalmente]</w:t>
      </w:r>
      <w:r w:rsidR="00A0473E" w:rsidRPr="00991977">
        <w:rPr>
          <w:rStyle w:val="eop"/>
          <w:rFonts w:ascii="Calibri Light" w:hAnsi="Calibri Light" w:cs="Calibri Light"/>
          <w:color w:val="000000"/>
        </w:rPr>
        <w:t> </w:t>
      </w:r>
    </w:p>
    <w:sectPr w:rsidR="00D32794" w:rsidRPr="00A379AC" w:rsidSect="008B0376">
      <w:headerReference w:type="default" r:id="rId11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49651" w14:textId="77777777" w:rsidR="00527F77" w:rsidRDefault="00527F77">
      <w:r>
        <w:separator/>
      </w:r>
    </w:p>
  </w:endnote>
  <w:endnote w:type="continuationSeparator" w:id="0">
    <w:p w14:paraId="315B0230" w14:textId="77777777" w:rsidR="00527F77" w:rsidRDefault="00527F77">
      <w:r>
        <w:continuationSeparator/>
      </w:r>
    </w:p>
  </w:endnote>
  <w:endnote w:type="continuationNotice" w:id="1">
    <w:p w14:paraId="59AB0991" w14:textId="77777777" w:rsidR="00527F77" w:rsidRDefault="00527F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82BB" w14:textId="77777777" w:rsidR="00527F77" w:rsidRDefault="00527F77">
      <w:r>
        <w:separator/>
      </w:r>
    </w:p>
  </w:footnote>
  <w:footnote w:type="continuationSeparator" w:id="0">
    <w:p w14:paraId="1B9C8E77" w14:textId="77777777" w:rsidR="00527F77" w:rsidRDefault="00527F77">
      <w:r>
        <w:continuationSeparator/>
      </w:r>
    </w:p>
  </w:footnote>
  <w:footnote w:type="continuationNotice" w:id="1">
    <w:p w14:paraId="355B72F5" w14:textId="77777777" w:rsidR="00527F77" w:rsidRDefault="00527F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720D9" w14:textId="25CE637E" w:rsidR="00D32794" w:rsidRDefault="00530ADB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5E0A19E4" wp14:editId="4D1DD09E">
          <wp:simplePos x="0" y="0"/>
          <wp:positionH relativeFrom="page">
            <wp:posOffset>346814</wp:posOffset>
          </wp:positionH>
          <wp:positionV relativeFrom="page">
            <wp:posOffset>340995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008B"/>
    <w:multiLevelType w:val="hybridMultilevel"/>
    <w:tmpl w:val="F1EC6BBA"/>
    <w:lvl w:ilvl="0" w:tplc="25B875C8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D5B"/>
    <w:multiLevelType w:val="hybridMultilevel"/>
    <w:tmpl w:val="337CA6A6"/>
    <w:lvl w:ilvl="0" w:tplc="7D76A5A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9" w15:restartNumberingAfterBreak="0">
    <w:nsid w:val="1FC34156"/>
    <w:multiLevelType w:val="hybridMultilevel"/>
    <w:tmpl w:val="11A65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1B8A"/>
    <w:multiLevelType w:val="hybridMultilevel"/>
    <w:tmpl w:val="0A3A93EE"/>
    <w:lvl w:ilvl="0" w:tplc="444CA3B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D6362"/>
    <w:multiLevelType w:val="hybridMultilevel"/>
    <w:tmpl w:val="181A1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4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6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8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 w16cid:durableId="767582322">
    <w:abstractNumId w:val="16"/>
  </w:num>
  <w:num w:numId="2" w16cid:durableId="1083918896">
    <w:abstractNumId w:val="20"/>
  </w:num>
  <w:num w:numId="3" w16cid:durableId="245000980">
    <w:abstractNumId w:val="8"/>
  </w:num>
  <w:num w:numId="4" w16cid:durableId="219757429">
    <w:abstractNumId w:val="13"/>
  </w:num>
  <w:num w:numId="5" w16cid:durableId="968127542">
    <w:abstractNumId w:val="18"/>
  </w:num>
  <w:num w:numId="6" w16cid:durableId="1755086715">
    <w:abstractNumId w:val="15"/>
  </w:num>
  <w:num w:numId="7" w16cid:durableId="796879354">
    <w:abstractNumId w:val="5"/>
  </w:num>
  <w:num w:numId="8" w16cid:durableId="2048867521">
    <w:abstractNumId w:val="17"/>
  </w:num>
  <w:num w:numId="9" w16cid:durableId="130950075">
    <w:abstractNumId w:val="3"/>
  </w:num>
  <w:num w:numId="10" w16cid:durableId="1342245677">
    <w:abstractNumId w:val="19"/>
  </w:num>
  <w:num w:numId="11" w16cid:durableId="1019041671">
    <w:abstractNumId w:val="14"/>
  </w:num>
  <w:num w:numId="12" w16cid:durableId="1123302741">
    <w:abstractNumId w:val="6"/>
  </w:num>
  <w:num w:numId="13" w16cid:durableId="2143420622">
    <w:abstractNumId w:val="10"/>
  </w:num>
  <w:num w:numId="14" w16cid:durableId="1694574625">
    <w:abstractNumId w:val="14"/>
  </w:num>
  <w:num w:numId="15" w16cid:durableId="7802478">
    <w:abstractNumId w:val="1"/>
  </w:num>
  <w:num w:numId="16" w16cid:durableId="969700278">
    <w:abstractNumId w:val="7"/>
  </w:num>
  <w:num w:numId="17" w16cid:durableId="640310767">
    <w:abstractNumId w:val="4"/>
  </w:num>
  <w:num w:numId="18" w16cid:durableId="1464344103">
    <w:abstractNumId w:val="4"/>
    <w:lvlOverride w:ilvl="0">
      <w:startOverride w:val="1"/>
    </w:lvlOverride>
  </w:num>
  <w:num w:numId="19" w16cid:durableId="1648431687">
    <w:abstractNumId w:val="12"/>
  </w:num>
  <w:num w:numId="20" w16cid:durableId="259918324">
    <w:abstractNumId w:val="2"/>
  </w:num>
  <w:num w:numId="21" w16cid:durableId="1138180121">
    <w:abstractNumId w:val="9"/>
  </w:num>
  <w:num w:numId="22" w16cid:durableId="135340799">
    <w:abstractNumId w:val="9"/>
  </w:num>
  <w:num w:numId="23" w16cid:durableId="1808084030">
    <w:abstractNumId w:val="11"/>
  </w:num>
  <w:num w:numId="24" w16cid:durableId="637994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94"/>
    <w:rsid w:val="000014BA"/>
    <w:rsid w:val="00007E8E"/>
    <w:rsid w:val="00010949"/>
    <w:rsid w:val="00022843"/>
    <w:rsid w:val="00073108"/>
    <w:rsid w:val="00085E6F"/>
    <w:rsid w:val="0009276B"/>
    <w:rsid w:val="000B5BDC"/>
    <w:rsid w:val="000C0950"/>
    <w:rsid w:val="000C257F"/>
    <w:rsid w:val="000C2DA5"/>
    <w:rsid w:val="000E2797"/>
    <w:rsid w:val="000F3C52"/>
    <w:rsid w:val="00130E40"/>
    <w:rsid w:val="001454EB"/>
    <w:rsid w:val="00177E03"/>
    <w:rsid w:val="00180686"/>
    <w:rsid w:val="0019296C"/>
    <w:rsid w:val="001B1C7D"/>
    <w:rsid w:val="001B1DC1"/>
    <w:rsid w:val="001B23FC"/>
    <w:rsid w:val="001C49FE"/>
    <w:rsid w:val="001C4C77"/>
    <w:rsid w:val="00260D68"/>
    <w:rsid w:val="002646A1"/>
    <w:rsid w:val="002B12CE"/>
    <w:rsid w:val="002C3E9C"/>
    <w:rsid w:val="002C55D9"/>
    <w:rsid w:val="002F1542"/>
    <w:rsid w:val="00302CC8"/>
    <w:rsid w:val="00313BBD"/>
    <w:rsid w:val="00322B54"/>
    <w:rsid w:val="00377C38"/>
    <w:rsid w:val="003D7F9F"/>
    <w:rsid w:val="00406D94"/>
    <w:rsid w:val="004278BE"/>
    <w:rsid w:val="00434A80"/>
    <w:rsid w:val="00450FA0"/>
    <w:rsid w:val="00485361"/>
    <w:rsid w:val="00486CD8"/>
    <w:rsid w:val="004C733B"/>
    <w:rsid w:val="004E10B4"/>
    <w:rsid w:val="004E3509"/>
    <w:rsid w:val="005114C9"/>
    <w:rsid w:val="00527F77"/>
    <w:rsid w:val="00530ADB"/>
    <w:rsid w:val="00542E61"/>
    <w:rsid w:val="00542E69"/>
    <w:rsid w:val="00543496"/>
    <w:rsid w:val="005479EF"/>
    <w:rsid w:val="0055197E"/>
    <w:rsid w:val="0058456E"/>
    <w:rsid w:val="00596AAB"/>
    <w:rsid w:val="005D6885"/>
    <w:rsid w:val="005F04BF"/>
    <w:rsid w:val="00602A1D"/>
    <w:rsid w:val="00650499"/>
    <w:rsid w:val="006C62F8"/>
    <w:rsid w:val="00703BF9"/>
    <w:rsid w:val="00715E76"/>
    <w:rsid w:val="00775294"/>
    <w:rsid w:val="00795239"/>
    <w:rsid w:val="007B4803"/>
    <w:rsid w:val="007C711B"/>
    <w:rsid w:val="008220AB"/>
    <w:rsid w:val="0082569B"/>
    <w:rsid w:val="00835099"/>
    <w:rsid w:val="008841DB"/>
    <w:rsid w:val="00886253"/>
    <w:rsid w:val="008B0376"/>
    <w:rsid w:val="008D28A0"/>
    <w:rsid w:val="008E76D0"/>
    <w:rsid w:val="008F3C2F"/>
    <w:rsid w:val="008F7B6A"/>
    <w:rsid w:val="00957B96"/>
    <w:rsid w:val="00985585"/>
    <w:rsid w:val="00997B0C"/>
    <w:rsid w:val="009B6A5B"/>
    <w:rsid w:val="009C06E1"/>
    <w:rsid w:val="009E46E3"/>
    <w:rsid w:val="00A0473E"/>
    <w:rsid w:val="00A160F0"/>
    <w:rsid w:val="00A215E8"/>
    <w:rsid w:val="00A271AC"/>
    <w:rsid w:val="00A379AC"/>
    <w:rsid w:val="00A40F57"/>
    <w:rsid w:val="00A5182A"/>
    <w:rsid w:val="00A70D78"/>
    <w:rsid w:val="00AB657F"/>
    <w:rsid w:val="00AD5453"/>
    <w:rsid w:val="00AE1DAE"/>
    <w:rsid w:val="00B23505"/>
    <w:rsid w:val="00B35FF6"/>
    <w:rsid w:val="00B42557"/>
    <w:rsid w:val="00B64EF8"/>
    <w:rsid w:val="00B93A8C"/>
    <w:rsid w:val="00BB78A2"/>
    <w:rsid w:val="00BD3721"/>
    <w:rsid w:val="00BE0B02"/>
    <w:rsid w:val="00C078D3"/>
    <w:rsid w:val="00C14EFE"/>
    <w:rsid w:val="00C24FF2"/>
    <w:rsid w:val="00C51029"/>
    <w:rsid w:val="00C71D21"/>
    <w:rsid w:val="00C81507"/>
    <w:rsid w:val="00C86042"/>
    <w:rsid w:val="00C9411C"/>
    <w:rsid w:val="00CA274A"/>
    <w:rsid w:val="00CA397D"/>
    <w:rsid w:val="00CA425A"/>
    <w:rsid w:val="00CE0CC8"/>
    <w:rsid w:val="00D01D65"/>
    <w:rsid w:val="00D21665"/>
    <w:rsid w:val="00D32794"/>
    <w:rsid w:val="00D40F39"/>
    <w:rsid w:val="00D66151"/>
    <w:rsid w:val="00D70098"/>
    <w:rsid w:val="00D86B19"/>
    <w:rsid w:val="00DF07FD"/>
    <w:rsid w:val="00E458F2"/>
    <w:rsid w:val="00E502B8"/>
    <w:rsid w:val="00E64E3A"/>
    <w:rsid w:val="00E925B9"/>
    <w:rsid w:val="00E9625F"/>
    <w:rsid w:val="00EB1EA5"/>
    <w:rsid w:val="00EC7ACC"/>
    <w:rsid w:val="00ED669D"/>
    <w:rsid w:val="00EE2F1A"/>
    <w:rsid w:val="00F25EDE"/>
    <w:rsid w:val="00F31A8B"/>
    <w:rsid w:val="00F93641"/>
    <w:rsid w:val="00FA2D3E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D4DEB04E-C6FB-49EB-B298-D0165E5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AD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79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79E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79EF"/>
    <w:rPr>
      <w:vertAlign w:val="superscript"/>
    </w:rPr>
  </w:style>
  <w:style w:type="character" w:customStyle="1" w:styleId="normaltextrun">
    <w:name w:val="normaltextrun"/>
    <w:basedOn w:val="Carpredefinitoparagrafo"/>
    <w:rsid w:val="00A0473E"/>
  </w:style>
  <w:style w:type="character" w:customStyle="1" w:styleId="eop">
    <w:name w:val="eop"/>
    <w:basedOn w:val="Carpredefinitoparagrafo"/>
    <w:rsid w:val="00A0473E"/>
  </w:style>
  <w:style w:type="character" w:customStyle="1" w:styleId="tabchar">
    <w:name w:val="tabchar"/>
    <w:basedOn w:val="Carpredefinitoparagrafo"/>
    <w:rsid w:val="00A0473E"/>
  </w:style>
  <w:style w:type="paragraph" w:styleId="Revisione">
    <w:name w:val="Revision"/>
    <w:hidden/>
    <w:uiPriority w:val="99"/>
    <w:semiHidden/>
    <w:rsid w:val="00BB78A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C81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0BB2D-5128-48B7-9433-F6A7E1DAF0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573C2C-9E0D-4F98-BE52-A73E68D95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EFBFA9-23D0-43DC-A9CA-5B2205E44F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B69C04-DBBD-4469-A987-3C988007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andrea leone fabio</cp:lastModifiedBy>
  <cp:revision>24</cp:revision>
  <dcterms:created xsi:type="dcterms:W3CDTF">2025-02-10T10:36:00Z</dcterms:created>
  <dcterms:modified xsi:type="dcterms:W3CDTF">2025-04-03T15:47:00Z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