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42F05" w14:textId="77777777" w:rsidR="009E4103" w:rsidRDefault="009E4103" w:rsidP="009E4103">
      <w:pPr>
        <w:widowControl/>
        <w:autoSpaceDE/>
        <w:autoSpaceDN/>
        <w:contextualSpacing/>
        <w:rPr>
          <w:rFonts w:asciiTheme="minorHAnsi" w:hAnsiTheme="minorHAnsi" w:cstheme="minorHAnsi"/>
          <w:b/>
          <w:bCs/>
          <w:color w:val="000000" w:themeColor="text1"/>
          <w:sz w:val="24"/>
          <w:szCs w:val="24"/>
        </w:rPr>
      </w:pPr>
    </w:p>
    <w:p w14:paraId="12A8851C" w14:textId="77777777" w:rsidR="009E4103" w:rsidRDefault="009E4103" w:rsidP="00C27A8C">
      <w:pPr>
        <w:widowControl/>
        <w:autoSpaceDE/>
        <w:autoSpaceDN/>
        <w:contextualSpacing/>
        <w:jc w:val="center"/>
        <w:rPr>
          <w:rFonts w:asciiTheme="minorHAnsi" w:hAnsiTheme="minorHAnsi" w:cstheme="minorHAnsi"/>
          <w:b/>
          <w:bCs/>
          <w:color w:val="000000" w:themeColor="text1"/>
          <w:sz w:val="24"/>
          <w:szCs w:val="24"/>
        </w:rPr>
      </w:pPr>
    </w:p>
    <w:p w14:paraId="56323360" w14:textId="1EC569CB"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016017">
        <w:rPr>
          <w:rFonts w:ascii="Calibri Light" w:hAnsi="Calibri Light"/>
          <w:bCs w:val="0"/>
          <w:color w:val="2E74B5"/>
          <w:sz w:val="28"/>
          <w:szCs w:val="28"/>
        </w:rPr>
        <w:t xml:space="preserve">9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74B7D" w:rsidRPr="009E4103">
        <w:rPr>
          <w:rFonts w:ascii="Calibri Light" w:hAnsi="Calibri Light"/>
          <w:bCs w:val="0"/>
          <w:color w:val="2E74B5"/>
          <w:sz w:val="28"/>
          <w:szCs w:val="28"/>
        </w:rPr>
        <w:t>Relazione di approfondimento valutativo del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0E86E00D" w14:textId="77777777" w:rsidR="009E4103" w:rsidRPr="00CA397D" w:rsidRDefault="009E410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470BFF" w:rsidRPr="00672933" w14:paraId="1069D366" w14:textId="77777777" w:rsidTr="00301329">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93A07" w14:textId="77777777" w:rsidR="00470BFF" w:rsidRPr="00672933" w:rsidRDefault="00470BFF" w:rsidP="00470BFF">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5603F48F" w14:textId="77777777" w:rsidR="00470BFF" w:rsidRPr="00672933" w:rsidRDefault="00470BFF" w:rsidP="00470BF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70C9FFDE" w14:textId="612E1729" w:rsidR="00470BFF" w:rsidRPr="00672933" w:rsidRDefault="00470BFF" w:rsidP="00470BFF">
            <w:pPr>
              <w:widowControl/>
              <w:autoSpaceDE/>
              <w:autoSpaceDN/>
              <w:rPr>
                <w:rFonts w:ascii="Calibri Light" w:hAnsi="Calibri Light" w:cs="Calibri Light"/>
                <w:color w:val="000000"/>
                <w:lang w:eastAsia="it-IT"/>
              </w:rPr>
            </w:pPr>
            <w:r w:rsidRPr="00FC0DDA">
              <w:rPr>
                <w:rFonts w:ascii="Calibri Light" w:hAnsi="Calibri Light" w:cs="Calibri Light"/>
                <w:color w:val="000000"/>
                <w:lang w:eastAsia="it-IT"/>
              </w:rPr>
              <w:t>6.Verso le Strategie di</w:t>
            </w:r>
            <w:r>
              <w:rPr>
                <w:rFonts w:ascii="Calibri Light" w:hAnsi="Calibri Light" w:cs="Calibri Light"/>
                <w:color w:val="000000"/>
                <w:lang w:eastAsia="it-IT"/>
              </w:rPr>
              <w:t xml:space="preserve"> </w:t>
            </w:r>
            <w:r w:rsidRPr="00FC0DDA">
              <w:rPr>
                <w:rFonts w:ascii="Calibri Light" w:hAnsi="Calibri Light" w:cs="Calibri Light"/>
                <w:color w:val="000000"/>
                <w:lang w:eastAsia="it-IT"/>
              </w:rPr>
              <w:t>sviluppo territoriale in</w:t>
            </w:r>
            <w:r>
              <w:rPr>
                <w:rFonts w:ascii="Calibri Light" w:hAnsi="Calibri Light" w:cs="Calibri Light"/>
                <w:color w:val="000000"/>
                <w:lang w:eastAsia="it-IT"/>
              </w:rPr>
              <w:t xml:space="preserve"> </w:t>
            </w:r>
            <w:r w:rsidRPr="00FC0DDA">
              <w:rPr>
                <w:rFonts w:ascii="Calibri Light" w:hAnsi="Calibri Light" w:cs="Calibri Light"/>
                <w:color w:val="000000"/>
                <w:lang w:eastAsia="it-IT"/>
              </w:rPr>
              <w:t>Sicilia</w:t>
            </w:r>
          </w:p>
        </w:tc>
      </w:tr>
      <w:tr w:rsidR="00470BFF" w:rsidRPr="00672933" w14:paraId="70664257"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46DFAB53" w14:textId="77777777" w:rsidR="00470BFF" w:rsidRPr="00672933" w:rsidRDefault="00470BFF" w:rsidP="00470BF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0DBC5CA2" w14:textId="77777777" w:rsidR="00470BFF" w:rsidRPr="00672933" w:rsidRDefault="00470BFF" w:rsidP="00470BFF">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E3A5F4A" w14:textId="41CB7D80" w:rsidR="00470BFF" w:rsidRPr="00672933" w:rsidRDefault="00470BFF" w:rsidP="00470BF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470BFF" w:rsidRPr="00672933" w14:paraId="26643975"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1E0C071B" w14:textId="77777777" w:rsidR="00470BFF" w:rsidRPr="00672933" w:rsidRDefault="00470BFF" w:rsidP="00470BFF">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E796841" w14:textId="77777777" w:rsidR="00470BFF" w:rsidRPr="00672933" w:rsidRDefault="00470BFF" w:rsidP="00470BF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22A17077" w14:textId="5EE0DDEE" w:rsidR="00470BFF" w:rsidRPr="00672933" w:rsidRDefault="00470BFF" w:rsidP="00470BFF">
            <w:pPr>
              <w:widowControl/>
              <w:autoSpaceDE/>
              <w:autoSpaceDN/>
              <w:rPr>
                <w:rFonts w:ascii="Calibri Light" w:hAnsi="Calibri Light" w:cs="Calibri Light"/>
                <w:color w:val="000000"/>
                <w:lang w:eastAsia="it-IT"/>
              </w:rPr>
            </w:pPr>
            <w:r w:rsidRPr="00FC0DDA">
              <w:rPr>
                <w:rFonts w:ascii="Calibri Light" w:hAnsi="Calibri Light" w:cs="Calibri Light"/>
                <w:color w:val="000000" w:themeColor="text1"/>
                <w:lang w:eastAsia="it-IT"/>
              </w:rPr>
              <w:t>5.</w:t>
            </w:r>
            <w:r>
              <w:rPr>
                <w:rFonts w:ascii="Calibri Light" w:hAnsi="Calibri Light" w:cs="Calibri Light"/>
                <w:color w:val="000000" w:themeColor="text1"/>
                <w:lang w:eastAsia="it-IT"/>
              </w:rPr>
              <w:t>2</w:t>
            </w:r>
            <w:r w:rsidRPr="00FC0DDA">
              <w:rPr>
                <w:rFonts w:ascii="Calibri Light" w:hAnsi="Calibri Light" w:cs="Calibri Light"/>
                <w:color w:val="000000" w:themeColor="text1"/>
                <w:lang w:eastAsia="it-IT"/>
              </w:rPr>
              <w:t xml:space="preserve"> Promuovere lo sviluppo sociale,</w:t>
            </w:r>
            <w:r>
              <w:rPr>
                <w:rFonts w:ascii="Calibri Light" w:hAnsi="Calibri Light" w:cs="Calibri Light"/>
                <w:color w:val="000000" w:themeColor="text1"/>
                <w:lang w:eastAsia="it-IT"/>
              </w:rPr>
              <w:t xml:space="preserve"> </w:t>
            </w:r>
            <w:r w:rsidRPr="00FC0DDA">
              <w:rPr>
                <w:rFonts w:ascii="Calibri Light" w:hAnsi="Calibri Light" w:cs="Calibri Light"/>
                <w:color w:val="000000" w:themeColor="text1"/>
                <w:lang w:eastAsia="it-IT"/>
              </w:rPr>
              <w:t>economico e ambientale integrato e</w:t>
            </w:r>
            <w:r>
              <w:rPr>
                <w:rFonts w:ascii="Calibri Light" w:hAnsi="Calibri Light" w:cs="Calibri Light"/>
                <w:color w:val="000000" w:themeColor="text1"/>
                <w:lang w:eastAsia="it-IT"/>
              </w:rPr>
              <w:t xml:space="preserve"> </w:t>
            </w:r>
            <w:r w:rsidRPr="00FC0DDA">
              <w:rPr>
                <w:rFonts w:ascii="Calibri Light" w:hAnsi="Calibri Light" w:cs="Calibri Light"/>
                <w:color w:val="000000" w:themeColor="text1"/>
                <w:lang w:eastAsia="it-IT"/>
              </w:rPr>
              <w:t>inclusivo, la cultura, il patrimonio naturale,</w:t>
            </w:r>
            <w:r>
              <w:rPr>
                <w:rFonts w:ascii="Calibri Light" w:hAnsi="Calibri Light" w:cs="Calibri Light"/>
                <w:color w:val="000000" w:themeColor="text1"/>
                <w:lang w:eastAsia="it-IT"/>
              </w:rPr>
              <w:t xml:space="preserve"> </w:t>
            </w:r>
            <w:r w:rsidRPr="00FC0DDA">
              <w:rPr>
                <w:rFonts w:ascii="Calibri Light" w:hAnsi="Calibri Light" w:cs="Calibri Light"/>
                <w:color w:val="000000" w:themeColor="text1"/>
                <w:lang w:eastAsia="it-IT"/>
              </w:rPr>
              <w:t>il turismo sostenibile e la sicurezza nelle</w:t>
            </w:r>
            <w:r>
              <w:rPr>
                <w:rFonts w:ascii="Calibri Light" w:hAnsi="Calibri Light" w:cs="Calibri Light"/>
                <w:color w:val="000000" w:themeColor="text1"/>
                <w:lang w:eastAsia="it-IT"/>
              </w:rPr>
              <w:t xml:space="preserve"> </w:t>
            </w:r>
            <w:r w:rsidRPr="00FC0DDA">
              <w:rPr>
                <w:rFonts w:ascii="Calibri Light" w:hAnsi="Calibri Light" w:cs="Calibri Light"/>
                <w:color w:val="000000" w:themeColor="text1"/>
                <w:lang w:eastAsia="it-IT"/>
              </w:rPr>
              <w:t>aree urbane</w:t>
            </w:r>
          </w:p>
        </w:tc>
      </w:tr>
      <w:tr w:rsidR="009E65BD" w:rsidRPr="00672933" w14:paraId="7662B706"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6DFD0821"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1F2DD6E5" w14:textId="77777777" w:rsidR="009E65BD" w:rsidRPr="00672933" w:rsidRDefault="009E65BD" w:rsidP="00301329">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3C99E13D"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9E65BD" w:rsidRPr="00672933" w14:paraId="6F25CD07"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44146787" w14:textId="16785E60" w:rsidR="009E65BD" w:rsidRPr="00672933" w:rsidRDefault="009E65BD" w:rsidP="00301329">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5DD473BE"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3A6927BA" w14:textId="562A590F" w:rsidR="009E65BD" w:rsidRPr="00672933" w:rsidRDefault="009E65BD" w:rsidP="00301329">
            <w:pPr>
              <w:widowControl/>
              <w:autoSpaceDE/>
              <w:autoSpaceDN/>
              <w:jc w:val="both"/>
              <w:rPr>
                <w:rFonts w:ascii="Calibri Light" w:hAnsi="Calibri Light" w:cs="Calibri Light"/>
                <w:color w:val="000000"/>
                <w:lang w:eastAsia="it-IT"/>
              </w:rPr>
            </w:pPr>
            <w:r w:rsidRPr="00672933">
              <w:rPr>
                <w:rFonts w:ascii="Calibri Light" w:hAnsi="Calibri Light" w:cs="Calibri Light"/>
                <w:color w:val="000000"/>
                <w:lang w:eastAsia="it-IT"/>
              </w:rPr>
              <w:t> </w:t>
            </w:r>
            <w:r w:rsidR="007E2A48" w:rsidRPr="007E2A48">
              <w:rPr>
                <w:rFonts w:ascii="Calibri Light" w:hAnsi="Calibri Light" w:cs="Calibri Light"/>
                <w:color w:val="000000" w:themeColor="text1"/>
                <w:lang w:eastAsia="it-IT"/>
              </w:rPr>
              <w:t>5.2.1.9 - Interventi di miglioramento del Servizio Idrico Integrato in tutti i segmenti della filiera</w:t>
            </w:r>
          </w:p>
        </w:tc>
      </w:tr>
      <w:tr w:rsidR="009E65BD" w:rsidRPr="00672933" w14:paraId="7F506012"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18378A2B"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25BC5A95" w14:textId="77777777" w:rsidR="009E65BD" w:rsidRPr="00672933" w:rsidRDefault="009E65BD" w:rsidP="00301329">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45EBBA21"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9E65BD" w:rsidRPr="00672933" w14:paraId="320A71D9"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29BCF" w14:textId="77777777" w:rsidR="009E65BD" w:rsidRPr="00672933" w:rsidRDefault="009E65BD" w:rsidP="00301329">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32A0250C"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A16D3" w14:textId="7112AE9D" w:rsidR="009E65BD" w:rsidRPr="00672933" w:rsidRDefault="00470BFF" w:rsidP="00301329">
            <w:pPr>
              <w:widowControl/>
              <w:autoSpaceDE/>
              <w:autoSpaceDN/>
              <w:jc w:val="both"/>
              <w:rPr>
                <w:rFonts w:ascii="Calibri Light" w:hAnsi="Calibri Light" w:cs="Calibri Light"/>
                <w:i/>
                <w:iCs/>
                <w:color w:val="000000"/>
                <w:lang w:eastAsia="it-IT"/>
              </w:rPr>
            </w:pPr>
            <w:r w:rsidRPr="00470BF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9E65BD" w:rsidRPr="00672933" w14:paraId="745794B0" w14:textId="77777777" w:rsidTr="00301329">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5BE5976" w14:textId="77777777" w:rsidR="009E65BD" w:rsidRPr="00672933" w:rsidRDefault="009E65BD" w:rsidP="00301329">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027AF696"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2528F7D" w14:textId="77777777" w:rsidR="009E65BD" w:rsidRPr="00672933" w:rsidRDefault="009E65BD" w:rsidP="00301329">
            <w:pPr>
              <w:widowControl/>
              <w:autoSpaceDE/>
              <w:autoSpaceDN/>
              <w:rPr>
                <w:rFonts w:ascii="Calibri Light" w:hAnsi="Calibri Light" w:cs="Calibri Light"/>
                <w:i/>
                <w:iCs/>
                <w:color w:val="000000"/>
                <w:lang w:eastAsia="it-IT"/>
              </w:rPr>
            </w:pPr>
          </w:p>
        </w:tc>
      </w:tr>
      <w:tr w:rsidR="009E65BD" w:rsidRPr="00672933" w14:paraId="2AB28A58"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5EF01275"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B00E959" w14:textId="77777777" w:rsidR="009E65BD" w:rsidRPr="00672933" w:rsidRDefault="009E65BD" w:rsidP="00301329">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2D04C2D1"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9E65BD" w:rsidRPr="00672933" w14:paraId="5D6B96A9" w14:textId="77777777" w:rsidTr="00301329">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1E721136" w14:textId="77777777" w:rsidR="009E65BD" w:rsidRPr="00672933" w:rsidRDefault="009E65BD" w:rsidP="00301329">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190B03C9" w14:textId="77777777" w:rsidR="009E65BD" w:rsidRPr="00672933" w:rsidRDefault="009E65BD" w:rsidP="00301329">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76D5ABB" w14:textId="77777777" w:rsidR="002F4A7A" w:rsidRPr="0054644D" w:rsidRDefault="002F4A7A" w:rsidP="002F4A7A">
            <w:pPr>
              <w:widowControl/>
              <w:autoSpaceDE/>
              <w:autoSpaceDN/>
              <w:jc w:val="both"/>
              <w:rPr>
                <w:rFonts w:ascii="Calibri Light" w:hAnsi="Calibri Light" w:cs="Calibri Light"/>
                <w:iCs/>
                <w:color w:val="000000"/>
                <w:lang w:eastAsia="it-IT"/>
              </w:rPr>
            </w:pPr>
            <w:r w:rsidRPr="0054644D">
              <w:rPr>
                <w:rFonts w:ascii="Calibri Light" w:hAnsi="Calibri Light" w:cs="Calibri Light"/>
                <w:iCs/>
                <w:color w:val="000000"/>
                <w:lang w:eastAsia="it-IT"/>
              </w:rPr>
              <w:t>L’azione sostiene interventi di adeguamento e miglioramento sismico di</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infrastrutture ed edifici di interesse strategico e di quelli che possono</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assumere rilevanza per le conseguenze di un eventuale collasso e di edifici</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residenziali pubblici, anche procedendo a demolizioni e ricostruzioni, ove</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ragioni di sicurezza, efficacia e di efficienza lo rendano conveniente; possono</w:t>
            </w:r>
          </w:p>
          <w:p w14:paraId="793E80D6" w14:textId="77777777" w:rsidR="002F4A7A" w:rsidRPr="0054644D" w:rsidRDefault="002F4A7A" w:rsidP="002F4A7A">
            <w:pPr>
              <w:widowControl/>
              <w:autoSpaceDE/>
              <w:autoSpaceDN/>
              <w:jc w:val="both"/>
              <w:rPr>
                <w:rFonts w:ascii="Calibri Light" w:hAnsi="Calibri Light" w:cs="Calibri Light"/>
                <w:iCs/>
                <w:color w:val="000000"/>
                <w:lang w:eastAsia="it-IT"/>
              </w:rPr>
            </w:pPr>
            <w:r w:rsidRPr="0054644D">
              <w:rPr>
                <w:rFonts w:ascii="Calibri Light" w:hAnsi="Calibri Light" w:cs="Calibri Light"/>
                <w:iCs/>
                <w:color w:val="000000"/>
                <w:lang w:eastAsia="it-IT"/>
              </w:rPr>
              <w:t>essere finanziati anche interventi per la rimozione e lo smaltimento di</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materiale contenente amianto.</w:t>
            </w:r>
          </w:p>
          <w:p w14:paraId="6DE187D4" w14:textId="77777777" w:rsidR="002F4A7A" w:rsidRPr="0054644D" w:rsidRDefault="002F4A7A" w:rsidP="002F4A7A">
            <w:pPr>
              <w:widowControl/>
              <w:autoSpaceDE/>
              <w:autoSpaceDN/>
              <w:jc w:val="both"/>
              <w:rPr>
                <w:rFonts w:ascii="Calibri Light" w:hAnsi="Calibri Light" w:cs="Calibri Light"/>
                <w:iCs/>
                <w:color w:val="000000"/>
                <w:lang w:eastAsia="it-IT"/>
              </w:rPr>
            </w:pPr>
            <w:r w:rsidRPr="0054644D">
              <w:rPr>
                <w:rFonts w:ascii="Calibri Light" w:hAnsi="Calibri Light" w:cs="Calibri Light"/>
                <w:iCs/>
                <w:color w:val="000000"/>
                <w:lang w:eastAsia="it-IT"/>
              </w:rPr>
              <w:t>Potrà inoltre essere sostenuto l’adeguamento e miglioramento sismico delle</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strutture produttive localizzate nelle zone a pericolosità sismica alta sulla base</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degli esiti delle verifiche di vulnerabilità sismica.</w:t>
            </w:r>
          </w:p>
          <w:p w14:paraId="569CEE37" w14:textId="0024B40D" w:rsidR="009E65BD" w:rsidRPr="00672933" w:rsidRDefault="002F4A7A" w:rsidP="002F4A7A">
            <w:pPr>
              <w:widowControl/>
              <w:autoSpaceDE/>
              <w:autoSpaceDN/>
              <w:jc w:val="both"/>
              <w:rPr>
                <w:rFonts w:ascii="Calibri Light" w:hAnsi="Calibri Light" w:cs="Calibri Light"/>
                <w:i/>
                <w:iCs/>
                <w:color w:val="000000"/>
                <w:lang w:eastAsia="it-IT"/>
              </w:rPr>
            </w:pPr>
            <w:r w:rsidRPr="0054644D">
              <w:rPr>
                <w:rFonts w:ascii="Calibri Light" w:hAnsi="Calibri Light" w:cs="Calibri Light"/>
                <w:iCs/>
                <w:color w:val="000000"/>
                <w:lang w:eastAsia="it-IT"/>
              </w:rPr>
              <w:t>Gli interventi per la mitigazione del rischio sismico dovranno essere coordinati</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con gli interventi di efficientamento energetico ove sia necessario attuarli</w:t>
            </w:r>
            <w:r>
              <w:rPr>
                <w:rFonts w:ascii="Calibri Light" w:hAnsi="Calibri Light" w:cs="Calibri Light"/>
                <w:iCs/>
                <w:color w:val="000000"/>
                <w:lang w:eastAsia="it-IT"/>
              </w:rPr>
              <w:t xml:space="preserve"> </w:t>
            </w:r>
            <w:r w:rsidRPr="0054644D">
              <w:rPr>
                <w:rFonts w:ascii="Calibri Light" w:hAnsi="Calibri Light" w:cs="Calibri Light"/>
                <w:iCs/>
                <w:color w:val="000000"/>
                <w:lang w:eastAsia="it-IT"/>
              </w:rPr>
              <w:t>entrambi.</w:t>
            </w:r>
          </w:p>
        </w:tc>
      </w:tr>
      <w:tr w:rsidR="009E65BD" w:rsidRPr="00672933" w14:paraId="0C95DAB0" w14:textId="77777777" w:rsidTr="00301329">
        <w:trPr>
          <w:trHeight w:val="300"/>
          <w:jc w:val="center"/>
        </w:trPr>
        <w:tc>
          <w:tcPr>
            <w:tcW w:w="2089" w:type="dxa"/>
            <w:tcBorders>
              <w:top w:val="nil"/>
              <w:left w:val="nil"/>
              <w:bottom w:val="single" w:sz="8" w:space="0" w:color="auto"/>
              <w:right w:val="nil"/>
            </w:tcBorders>
            <w:shd w:val="clear" w:color="auto" w:fill="auto"/>
            <w:vAlign w:val="center"/>
            <w:hideMark/>
          </w:tcPr>
          <w:p w14:paraId="037FB3B4" w14:textId="77777777" w:rsidR="009E65BD" w:rsidRPr="00672933" w:rsidRDefault="009E65BD" w:rsidP="00301329">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551DBFDB" w14:textId="77777777" w:rsidR="009E65BD" w:rsidRPr="00672933" w:rsidRDefault="009E65BD" w:rsidP="00301329">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715608A0" w14:textId="77777777" w:rsidR="009E65BD" w:rsidRPr="00672933" w:rsidRDefault="009E65BD" w:rsidP="00301329">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470BFF" w:rsidRPr="00672933" w14:paraId="687861EA"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6BF34F74" w14:textId="77777777" w:rsidR="00470BFF" w:rsidRPr="00672933" w:rsidRDefault="00470BFF" w:rsidP="00470BFF">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703BF3D9" w14:textId="77777777" w:rsidR="00470BFF" w:rsidRPr="00672933" w:rsidRDefault="00470BFF" w:rsidP="00470BFF">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4706BC73" w14:textId="63F3D32B" w:rsidR="00470BFF" w:rsidRPr="00672933" w:rsidRDefault="000042C4"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2112468649"/>
                <w14:checkbox>
                  <w14:checked w14:val="1"/>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regia</w:t>
            </w:r>
          </w:p>
        </w:tc>
      </w:tr>
      <w:tr w:rsidR="00470BFF" w:rsidRPr="00672933" w14:paraId="4728D009" w14:textId="77777777" w:rsidTr="00301329">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6D513B8D" w14:textId="77777777"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60667F7D" w14:textId="77777777"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5735D492" w14:textId="3AD60F62" w:rsidR="00470BFF" w:rsidRPr="00672933" w:rsidRDefault="000042C4"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1955588258"/>
                <w14:checkbox>
                  <w14:checked w14:val="0"/>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Aiuti a titolarità</w:t>
            </w:r>
          </w:p>
        </w:tc>
      </w:tr>
      <w:tr w:rsidR="00470BFF" w:rsidRPr="00672933" w14:paraId="6FE552E3" w14:textId="77777777" w:rsidTr="00301329">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03C1D1CC" w14:textId="77777777"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3D9A417F" w14:textId="77777777"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61CF7C6D" w14:textId="7351F27C" w:rsidR="00470BFF" w:rsidRPr="00672933" w:rsidRDefault="000042C4" w:rsidP="00470BFF">
            <w:pPr>
              <w:widowControl/>
              <w:autoSpaceDE/>
              <w:autoSpaceDN/>
              <w:rPr>
                <w:rFonts w:ascii="Calibri Light" w:hAnsi="Calibri Light" w:cs="Calibri Light"/>
                <w:i/>
                <w:iCs/>
                <w:color w:val="000000"/>
                <w:lang w:eastAsia="it-IT"/>
              </w:rPr>
            </w:pPr>
            <w:sdt>
              <w:sdtPr>
                <w:rPr>
                  <w:rFonts w:ascii="Calibri Light" w:hAnsi="Calibri Light" w:cs="Calibri Light"/>
                  <w:color w:val="000000" w:themeColor="text1"/>
                </w:rPr>
                <w:id w:val="-1236463939"/>
                <w14:checkbox>
                  <w14:checked w14:val="0"/>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titolarità</w:t>
            </w:r>
          </w:p>
        </w:tc>
      </w:tr>
    </w:tbl>
    <w:p w14:paraId="30A92372" w14:textId="77777777" w:rsidR="009E4103" w:rsidRDefault="009E4103" w:rsidP="000A004C">
      <w:pPr>
        <w:ind w:right="418"/>
        <w:jc w:val="both"/>
        <w:rPr>
          <w:rFonts w:asciiTheme="minorHAnsi" w:hAnsiTheme="minorHAnsi" w:cstheme="minorHAnsi"/>
          <w:b/>
          <w:bCs/>
        </w:rPr>
      </w:pPr>
    </w:p>
    <w:p w14:paraId="03D5B34D" w14:textId="77777777" w:rsidR="009E4103" w:rsidRDefault="009E4103" w:rsidP="009E4103">
      <w:pPr>
        <w:ind w:right="418"/>
        <w:jc w:val="both"/>
        <w:rPr>
          <w:rFonts w:ascii="Calibri Light" w:hAnsi="Calibri Light" w:cs="Calibri Light"/>
          <w:b/>
          <w:color w:val="2E74B5"/>
          <w:sz w:val="24"/>
          <w:szCs w:val="24"/>
        </w:rPr>
      </w:pPr>
    </w:p>
    <w:p w14:paraId="6FC7B010" w14:textId="35150E63" w:rsidR="009E4103" w:rsidRPr="00A379AC" w:rsidRDefault="009E4103" w:rsidP="009E410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 - Valutazione</w:t>
      </w:r>
    </w:p>
    <w:p w14:paraId="6B0207C4" w14:textId="77777777" w:rsidR="001F44E6" w:rsidRDefault="001F44E6" w:rsidP="000A004C">
      <w:pPr>
        <w:ind w:right="418"/>
        <w:jc w:val="both"/>
        <w:rPr>
          <w:rFonts w:asciiTheme="minorHAnsi" w:hAnsiTheme="minorHAnsi" w:cstheme="minorHAnsi"/>
          <w:color w:val="000000" w:themeColor="text1"/>
        </w:rPr>
      </w:pPr>
    </w:p>
    <w:p w14:paraId="4C7DD8C2" w14:textId="77777777" w:rsidR="00E96BDD" w:rsidRPr="009E4103" w:rsidRDefault="00E96BDD" w:rsidP="00E96BDD">
      <w:pPr>
        <w:pStyle w:val="Paragrafoelenco"/>
        <w:numPr>
          <w:ilvl w:val="0"/>
          <w:numId w:val="21"/>
        </w:numPr>
        <w:ind w:right="418"/>
        <w:jc w:val="both"/>
        <w:rPr>
          <w:rFonts w:ascii="Calibri Light" w:hAnsi="Calibri Light" w:cs="Calibri Light"/>
          <w:i/>
          <w:iCs/>
          <w:color w:val="000000" w:themeColor="text1"/>
        </w:rPr>
      </w:pPr>
      <w:r>
        <w:rPr>
          <w:rFonts w:ascii="Calibri Light" w:hAnsi="Calibri Light" w:cs="Calibri Light"/>
          <w:color w:val="000000" w:themeColor="text1"/>
        </w:rPr>
        <w:t>Coerenza del</w:t>
      </w:r>
      <w:r w:rsidRPr="009E4103">
        <w:rPr>
          <w:rFonts w:ascii="Calibri Light" w:hAnsi="Calibri Light" w:cs="Calibri Light"/>
          <w:color w:val="000000" w:themeColor="text1"/>
        </w:rPr>
        <w:t xml:space="preserve">le </w:t>
      </w:r>
      <w:r>
        <w:rPr>
          <w:rFonts w:ascii="Calibri Light" w:hAnsi="Calibri Light" w:cs="Calibri Light"/>
          <w:color w:val="000000" w:themeColor="text1"/>
        </w:rPr>
        <w:t xml:space="preserve">operazioni/azioni </w:t>
      </w:r>
      <w:r w:rsidRPr="009E4103">
        <w:rPr>
          <w:rFonts w:ascii="Calibri Light" w:hAnsi="Calibri Light" w:cs="Calibri Light"/>
          <w:color w:val="000000" w:themeColor="text1"/>
        </w:rPr>
        <w:t xml:space="preserve">da </w:t>
      </w:r>
      <w:r>
        <w:rPr>
          <w:rFonts w:ascii="Calibri Light" w:hAnsi="Calibri Light" w:cs="Calibri Light"/>
          <w:color w:val="000000" w:themeColor="text1"/>
        </w:rPr>
        <w:t>finanziare, mediante il dispositivo attuativo, con le finalità</w:t>
      </w:r>
      <w:r w:rsidRPr="009E4103">
        <w:rPr>
          <w:rFonts w:ascii="Calibri Light" w:hAnsi="Calibri Light" w:cs="Calibri Light"/>
          <w:color w:val="000000" w:themeColor="text1"/>
        </w:rPr>
        <w:t xml:space="preserve"> del PR FESR</w:t>
      </w:r>
      <w:r>
        <w:rPr>
          <w:rFonts w:ascii="Calibri Light" w:hAnsi="Calibri Light" w:cs="Calibri Light"/>
          <w:color w:val="000000" w:themeColor="text1"/>
        </w:rPr>
        <w:t xml:space="preserve"> Sicilia 2021-2027</w:t>
      </w:r>
      <w:r w:rsidRPr="009E4103">
        <w:rPr>
          <w:rFonts w:ascii="Calibri Light" w:hAnsi="Calibri Light" w:cs="Calibri Light"/>
          <w:color w:val="000000" w:themeColor="text1"/>
        </w:rPr>
        <w:t xml:space="preserve"> (</w:t>
      </w:r>
      <w:r w:rsidRPr="009E4103">
        <w:rPr>
          <w:rFonts w:ascii="Calibri Light" w:hAnsi="Calibri Light" w:cs="Calibri Light"/>
          <w:i/>
          <w:iCs/>
          <w:color w:val="000000" w:themeColor="text1"/>
        </w:rPr>
        <w:t xml:space="preserve">inserire Azione di riferimento del PR FESR 2021-2027): </w:t>
      </w:r>
    </w:p>
    <w:p w14:paraId="12F17A33" w14:textId="77777777" w:rsidR="00E96BDD" w:rsidRPr="009E4103" w:rsidRDefault="00E96BDD" w:rsidP="00E96BDD">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0290" behindDoc="0" locked="0" layoutInCell="1" allowOverlap="1" wp14:anchorId="10D97394" wp14:editId="04748D46">
                <wp:simplePos x="0" y="0"/>
                <wp:positionH relativeFrom="margin">
                  <wp:posOffset>476250</wp:posOffset>
                </wp:positionH>
                <wp:positionV relativeFrom="paragraph">
                  <wp:posOffset>162560</wp:posOffset>
                </wp:positionV>
                <wp:extent cx="6096000" cy="561975"/>
                <wp:effectExtent l="0" t="0" r="19050" b="28575"/>
                <wp:wrapNone/>
                <wp:docPr id="116168223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61975"/>
                        </a:xfrm>
                        <a:prstGeom prst="rect">
                          <a:avLst/>
                        </a:prstGeom>
                        <a:solidFill>
                          <a:schemeClr val="lt1"/>
                        </a:solidFill>
                        <a:ln w="6350">
                          <a:solidFill>
                            <a:prstClr val="black"/>
                          </a:solidFill>
                        </a:ln>
                      </wps:spPr>
                      <wps:txb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97394" id="_x0000_t202" coordsize="21600,21600" o:spt="202" path="m,l,21600r21600,l21600,xe">
                <v:stroke joinstyle="miter"/>
                <v:path gradientshapeok="t" o:connecttype="rect"/>
              </v:shapetype>
              <v:shape id="Casella di testo 4" o:spid="_x0000_s1026" type="#_x0000_t202" style="position:absolute;left:0;text-align:left;margin-left:37.5pt;margin-top:12.8pt;width:480pt;height:44.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" fillcolor="white [3201]" strokeweight=".5pt">
                <v:path arrowok="t"/>
                <v:textbo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v:textbox>
                <w10:wrap anchorx="margin"/>
              </v:shape>
            </w:pict>
          </mc:Fallback>
        </mc:AlternateContent>
      </w:r>
    </w:p>
    <w:p w14:paraId="54E9A355" w14:textId="77777777" w:rsidR="00E96BDD" w:rsidRPr="009E4103" w:rsidRDefault="00E96BDD" w:rsidP="00E96BDD">
      <w:pPr>
        <w:ind w:right="418"/>
        <w:jc w:val="both"/>
        <w:rPr>
          <w:rFonts w:ascii="Calibri Light" w:hAnsi="Calibri Light" w:cs="Calibri Light"/>
          <w:color w:val="000000" w:themeColor="text1"/>
        </w:rPr>
      </w:pPr>
    </w:p>
    <w:p w14:paraId="222BE58C" w14:textId="77777777" w:rsidR="00E96BDD" w:rsidRPr="009E4103" w:rsidRDefault="00E96BDD" w:rsidP="00E96BDD">
      <w:pPr>
        <w:ind w:right="418"/>
        <w:jc w:val="both"/>
        <w:rPr>
          <w:rFonts w:ascii="Calibri Light" w:hAnsi="Calibri Light" w:cs="Calibri Light"/>
          <w:color w:val="000000" w:themeColor="text1"/>
        </w:rPr>
      </w:pPr>
    </w:p>
    <w:p w14:paraId="0911F465" w14:textId="77777777" w:rsidR="00E96BDD" w:rsidRPr="009E4103" w:rsidRDefault="00E96BDD" w:rsidP="00E96BDD">
      <w:pPr>
        <w:ind w:right="418"/>
        <w:jc w:val="both"/>
        <w:rPr>
          <w:rFonts w:ascii="Calibri Light" w:hAnsi="Calibri Light" w:cs="Calibri Light"/>
          <w:color w:val="000000" w:themeColor="text1"/>
        </w:rPr>
      </w:pPr>
    </w:p>
    <w:p w14:paraId="6228F66A" w14:textId="77777777" w:rsidR="009E4103" w:rsidRDefault="009E4103" w:rsidP="000A004C">
      <w:pPr>
        <w:ind w:right="418"/>
        <w:jc w:val="both"/>
        <w:rPr>
          <w:rFonts w:ascii="Calibri Light" w:hAnsi="Calibri Light" w:cs="Calibri Light"/>
          <w:color w:val="000000" w:themeColor="text1"/>
        </w:rPr>
      </w:pPr>
    </w:p>
    <w:p w14:paraId="14DFFB7C" w14:textId="77777777" w:rsidR="009E4103" w:rsidRDefault="009E4103" w:rsidP="000A004C">
      <w:pPr>
        <w:ind w:right="418"/>
        <w:jc w:val="both"/>
        <w:rPr>
          <w:rFonts w:ascii="Calibri Light" w:hAnsi="Calibri Light" w:cs="Calibri Light"/>
          <w:color w:val="000000" w:themeColor="text1"/>
        </w:rPr>
      </w:pPr>
    </w:p>
    <w:p w14:paraId="306CFE46" w14:textId="77777777" w:rsidR="00E96BDD" w:rsidRPr="00313BBD" w:rsidRDefault="00E96BDD" w:rsidP="00E96BDD">
      <w:pPr>
        <w:pStyle w:val="Paragrafoelenco"/>
        <w:numPr>
          <w:ilvl w:val="0"/>
          <w:numId w:val="21"/>
        </w:numPr>
        <w:ind w:right="418"/>
        <w:jc w:val="both"/>
        <w:rPr>
          <w:rFonts w:ascii="Calibri Light" w:hAnsi="Calibri Light" w:cs="Calibri Light"/>
          <w:color w:val="000000" w:themeColor="text1"/>
        </w:rPr>
      </w:pPr>
      <w:r w:rsidRPr="00313BBD">
        <w:rPr>
          <w:rFonts w:ascii="Calibri Light" w:hAnsi="Calibri Light" w:cs="Calibri Light"/>
          <w:color w:val="000000" w:themeColor="text1"/>
        </w:rPr>
        <w:t xml:space="preserve">Settori di intervento di cui all’Allegato 1 del Regolamento 1060/2021, individuati sulla base delle </w:t>
      </w:r>
      <w:r w:rsidRPr="00313BBD">
        <w:rPr>
          <w:rFonts w:ascii="Calibri Light" w:hAnsi="Calibri Light" w:cs="Calibri Light"/>
          <w:b/>
          <w:bCs/>
          <w:i/>
          <w:iCs/>
          <w:color w:val="000000" w:themeColor="text1"/>
        </w:rPr>
        <w:t>Tabelle di sintesi per campo di intervento di cui all’Allegato IV del Rapporto Ambientale di VAS</w:t>
      </w:r>
      <w:r w:rsidRPr="00313BBD">
        <w:rPr>
          <w:rFonts w:ascii="Calibri Light" w:hAnsi="Calibri Light" w:cs="Calibri Light"/>
          <w:color w:val="000000" w:themeColor="text1"/>
        </w:rPr>
        <w:t xml:space="preserve">, allegato al Manuale di attuazione del PR FESR 2021-2027, associabili alle attività previste nell’ambito dell’operazione da ammettere a finanziamento: </w:t>
      </w:r>
    </w:p>
    <w:p w14:paraId="60638584"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85585">
        <w:rPr>
          <w:rFonts w:ascii="Calibri Light" w:hAnsi="Calibri Light" w:cs="Calibri Light"/>
          <w:noProof/>
          <w:color w:val="000000" w:themeColor="text1"/>
          <w:highlight w:val="yellow"/>
          <w:lang w:eastAsia="it-IT"/>
        </w:rPr>
        <mc:AlternateContent>
          <mc:Choice Requires="wps">
            <w:drawing>
              <wp:anchor distT="0" distB="0" distL="114300" distR="114300" simplePos="0" relativeHeight="251662338" behindDoc="0" locked="0" layoutInCell="1" allowOverlap="1" wp14:anchorId="73E3C70E" wp14:editId="031748D4">
                <wp:simplePos x="0" y="0"/>
                <wp:positionH relativeFrom="margin">
                  <wp:posOffset>444500</wp:posOffset>
                </wp:positionH>
                <wp:positionV relativeFrom="paragraph">
                  <wp:posOffset>80011</wp:posOffset>
                </wp:positionV>
                <wp:extent cx="6083300" cy="1289050"/>
                <wp:effectExtent l="0" t="0" r="12700" b="25400"/>
                <wp:wrapNone/>
                <wp:docPr id="21743470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300" cy="1289050"/>
                        </a:xfrm>
                        <a:prstGeom prst="rect">
                          <a:avLst/>
                        </a:prstGeom>
                        <a:solidFill>
                          <a:schemeClr val="lt1"/>
                        </a:solidFill>
                        <a:ln w="6350">
                          <a:solidFill>
                            <a:prstClr val="black"/>
                          </a:solidFill>
                        </a:ln>
                      </wps:spPr>
                      <wps:txbx>
                        <w:txbxContent>
                          <w:p w14:paraId="64F1EF0F" w14:textId="20F6DC6F" w:rsidR="00E96BDD" w:rsidRDefault="007E2A48" w:rsidP="002F4A7A">
                            <w:pPr>
                              <w:jc w:val="both"/>
                            </w:pPr>
                            <w:r w:rsidRPr="007E2A48">
                              <w:rPr>
                                <w:rFonts w:ascii="Calibri Light" w:hAnsi="Calibri Light" w:cs="Calibri Light"/>
                                <w:color w:val="000000"/>
                                <w:lang w:eastAsia="it-IT"/>
                              </w:rPr>
                              <w:t>063 - Fornitura di acqua per il consumo umano (infrastrutture di estrazione, trattamento, stoccaggio e distribuzione, misure di efficienza idrica, approvvigionamento di acqua potabile) conformemente ai criteri di efficienza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3C70E" id="Casella di testo 2" o:spid="_x0000_s1027" type="#_x0000_t202" style="position:absolute;left:0;text-align:left;margin-left:35pt;margin-top:6.3pt;width:479pt;height:101.5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" fillcolor="white [3201]" strokeweight=".5pt">
                <v:path arrowok="t"/>
                <v:textbox>
                  <w:txbxContent>
                    <w:p w14:paraId="64F1EF0F" w14:textId="20F6DC6F" w:rsidR="00E96BDD" w:rsidRDefault="007E2A48" w:rsidP="002F4A7A">
                      <w:pPr>
                        <w:jc w:val="both"/>
                      </w:pPr>
                      <w:r w:rsidRPr="007E2A48">
                        <w:rPr>
                          <w:rFonts w:ascii="Calibri Light" w:hAnsi="Calibri Light" w:cs="Calibri Light"/>
                          <w:color w:val="000000"/>
                          <w:lang w:eastAsia="it-IT"/>
                        </w:rPr>
                        <w:t>063 - Fornitura di acqua per il consumo umano (infrastrutture di estrazione, trattamento, stoccaggio e distribuzione, misure di efficienza idrica, approvvigionamento di acqua potabile) conformemente ai criteri di efficienza</w:t>
                      </w:r>
                    </w:p>
                  </w:txbxContent>
                </v:textbox>
                <w10:wrap anchorx="margin"/>
              </v:shape>
            </w:pict>
          </mc:Fallback>
        </mc:AlternateContent>
      </w:r>
    </w:p>
    <w:p w14:paraId="6505FABC"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14:paraId="3170D9B6" w14:textId="77777777" w:rsidR="00E96BDD" w:rsidRPr="009E4103" w:rsidRDefault="00E96BDD" w:rsidP="00E96BDD">
      <w:pPr>
        <w:pStyle w:val="Paragrafoelenco"/>
        <w:ind w:left="720" w:right="418"/>
        <w:jc w:val="both"/>
        <w:rPr>
          <w:rFonts w:ascii="Calibri Light" w:hAnsi="Calibri Light" w:cs="Calibri Light"/>
          <w:color w:val="000000" w:themeColor="text1"/>
        </w:rPr>
      </w:pPr>
    </w:p>
    <w:p w14:paraId="515CE5AC" w14:textId="77777777" w:rsidR="00E96BDD" w:rsidRPr="00EC7ACC" w:rsidRDefault="00E96BDD" w:rsidP="00E96BDD">
      <w:pPr>
        <w:ind w:right="418"/>
        <w:jc w:val="both"/>
        <w:rPr>
          <w:rFonts w:ascii="Calibri Light" w:hAnsi="Calibri Light" w:cs="Calibri Light"/>
          <w:color w:val="000000" w:themeColor="text1"/>
        </w:rPr>
      </w:pPr>
    </w:p>
    <w:p w14:paraId="6F89B4C0" w14:textId="77777777" w:rsidR="00422D41" w:rsidRDefault="00422D41" w:rsidP="000A004C">
      <w:pPr>
        <w:ind w:right="418"/>
        <w:jc w:val="both"/>
        <w:rPr>
          <w:rFonts w:ascii="Calibri Light" w:hAnsi="Calibri Light" w:cs="Calibri Light"/>
          <w:color w:val="000000" w:themeColor="text1"/>
        </w:rPr>
      </w:pPr>
    </w:p>
    <w:p w14:paraId="351CED48" w14:textId="77777777" w:rsidR="00422D41" w:rsidRDefault="00422D41" w:rsidP="000A004C">
      <w:pPr>
        <w:ind w:right="418"/>
        <w:jc w:val="both"/>
        <w:rPr>
          <w:rFonts w:ascii="Calibri Light" w:hAnsi="Calibri Light" w:cs="Calibri Light"/>
          <w:color w:val="000000" w:themeColor="text1"/>
        </w:rPr>
      </w:pPr>
    </w:p>
    <w:p w14:paraId="7B85E381" w14:textId="77777777" w:rsidR="0092692F" w:rsidRDefault="0092692F" w:rsidP="00E96BDD">
      <w:pPr>
        <w:ind w:right="418"/>
        <w:jc w:val="both"/>
        <w:rPr>
          <w:rFonts w:ascii="Calibri Light" w:hAnsi="Calibri Light" w:cs="Calibri Light"/>
          <w:color w:val="000000" w:themeColor="text1"/>
        </w:rPr>
      </w:pPr>
    </w:p>
    <w:p w14:paraId="73EEBC3F" w14:textId="77777777" w:rsidR="0092692F" w:rsidRDefault="0092692F" w:rsidP="00E96BDD">
      <w:pPr>
        <w:ind w:right="418"/>
        <w:jc w:val="both"/>
        <w:rPr>
          <w:rFonts w:ascii="Calibri Light" w:hAnsi="Calibri Light" w:cs="Calibri Light"/>
          <w:color w:val="000000" w:themeColor="text1"/>
        </w:rPr>
      </w:pPr>
    </w:p>
    <w:p w14:paraId="7AD6A15C" w14:textId="77777777" w:rsidR="005629F4" w:rsidRDefault="005629F4" w:rsidP="00E96BDD">
      <w:pPr>
        <w:ind w:right="418"/>
        <w:jc w:val="both"/>
        <w:rPr>
          <w:rFonts w:ascii="Calibri Light" w:hAnsi="Calibri Light" w:cs="Calibri Light"/>
          <w:color w:val="000000" w:themeColor="text1"/>
        </w:rPr>
      </w:pPr>
    </w:p>
    <w:p w14:paraId="71B8B515" w14:textId="77777777" w:rsidR="005629F4" w:rsidRDefault="005629F4" w:rsidP="00E96BDD">
      <w:pPr>
        <w:ind w:right="418"/>
        <w:jc w:val="both"/>
        <w:rPr>
          <w:rFonts w:ascii="Calibri Light" w:hAnsi="Calibri Light" w:cs="Calibri Light"/>
          <w:color w:val="000000" w:themeColor="text1"/>
        </w:rPr>
      </w:pPr>
    </w:p>
    <w:p w14:paraId="36F3EF8E" w14:textId="77777777" w:rsidR="005629F4" w:rsidRDefault="005629F4" w:rsidP="005629F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Elementi esaminati nella valutazione approfondita</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C86D26" w14:paraId="7111B48D" w14:textId="77777777" w:rsidTr="00C86D26">
        <w:tc>
          <w:tcPr>
            <w:tcW w:w="10790" w:type="dxa"/>
          </w:tcPr>
          <w:p w14:paraId="19A21D12" w14:textId="77777777" w:rsidR="00C86D26" w:rsidRDefault="00C86D26" w:rsidP="00C86D26">
            <w:pPr>
              <w:jc w:val="center"/>
              <w:rPr>
                <w:rFonts w:ascii="Calibri Light" w:hAnsi="Calibri Light" w:cs="Calibri Light"/>
                <w:i/>
                <w:iCs/>
                <w:color w:val="000000" w:themeColor="text1"/>
              </w:rPr>
            </w:pPr>
            <w:r>
              <w:rPr>
                <w:rFonts w:ascii="Calibri Light" w:hAnsi="Calibri Light" w:cs="Calibri Light"/>
                <w:i/>
                <w:iCs/>
                <w:color w:val="000000" w:themeColor="text1"/>
              </w:rPr>
              <w:t xml:space="preserve">Descrivere sinteticamente gli elementi esaminati che hanno determinato </w:t>
            </w:r>
            <w:r w:rsidRPr="00871D21">
              <w:rPr>
                <w:rFonts w:ascii="Calibri Light" w:hAnsi="Calibri Light" w:cs="Calibri Light"/>
                <w:i/>
                <w:iCs/>
                <w:color w:val="000000" w:themeColor="text1"/>
              </w:rPr>
              <w:t>l’esigenza di un approfondimento addizionale rispetto a quanto previsto in sede di VAS</w:t>
            </w:r>
            <w:r>
              <w:rPr>
                <w:rFonts w:ascii="Calibri Light" w:hAnsi="Calibri Light" w:cs="Calibri Light"/>
                <w:i/>
                <w:iCs/>
                <w:color w:val="000000" w:themeColor="text1"/>
              </w:rPr>
              <w:t>, in ordine all’azione da ammettere a finanziamento e le relative considerazioni</w:t>
            </w:r>
          </w:p>
          <w:p w14:paraId="67A2F158" w14:textId="7DCFEAA5" w:rsidR="00C86D26" w:rsidRDefault="0062066F" w:rsidP="0062066F">
            <w:pPr>
              <w:jc w:val="both"/>
              <w:rPr>
                <w:rFonts w:ascii="Calibri Light" w:hAnsi="Calibri Light" w:cs="Calibri Light"/>
                <w:color w:val="000000" w:themeColor="text1"/>
              </w:rPr>
            </w:pPr>
            <w:r w:rsidRPr="0062066F">
              <w:rPr>
                <w:rFonts w:ascii="Calibri Light" w:hAnsi="Calibri Light" w:cs="Calibri Light"/>
                <w:i/>
                <w:iCs/>
                <w:color w:val="000000" w:themeColor="text1"/>
              </w:rPr>
              <w:t>Gli</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effetti dei cambiamenti climatici, tra cui l’aumento dell’evapotraspirazione e dei periodi</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 xml:space="preserve">di siccità, possono esacerbare la scarsità di acqua. </w:t>
            </w:r>
            <w:proofErr w:type="spellStart"/>
            <w:r w:rsidRPr="0062066F">
              <w:rPr>
                <w:rFonts w:ascii="Calibri Light" w:hAnsi="Calibri Light" w:cs="Calibri Light"/>
                <w:i/>
                <w:iCs/>
                <w:color w:val="000000" w:themeColor="text1"/>
              </w:rPr>
              <w:t>Pertan</w:t>
            </w:r>
            <w:proofErr w:type="spellEnd"/>
            <w:r w:rsidRPr="0062066F">
              <w:rPr>
                <w:rFonts w:ascii="Calibri Light" w:hAnsi="Calibri Light" w:cs="Calibri Light"/>
                <w:i/>
                <w:iCs/>
                <w:color w:val="000000" w:themeColor="text1"/>
              </w:rPr>
              <w:t xml:space="preserve"> to, in linea con la gerarchizzazione</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delle opzioni idriche, ricorrendo alla desalinizzazione occorre mettere in campo misure</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praticabili innanzitutto di efficienza idrica e in seconda battuta di riutilizzo dell’acqua</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Gli</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investimenti nella desalinizzazione dell’acqua marina o salmastra riducono lo</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sfruttamento eccessivo delle risorse idriche esistenti e creano anche riserve stabilizzatrici per</w:t>
            </w:r>
            <w:r>
              <w:rPr>
                <w:rFonts w:ascii="Calibri Light" w:hAnsi="Calibri Light" w:cs="Calibri Light"/>
                <w:i/>
                <w:iCs/>
                <w:color w:val="000000" w:themeColor="text1"/>
              </w:rPr>
              <w:t xml:space="preserve"> </w:t>
            </w:r>
            <w:r w:rsidRPr="0062066F">
              <w:rPr>
                <w:rFonts w:ascii="Calibri Light" w:hAnsi="Calibri Light" w:cs="Calibri Light"/>
                <w:i/>
                <w:iCs/>
                <w:color w:val="000000" w:themeColor="text1"/>
              </w:rPr>
              <w:t>ovviare alla carenza di acqua dolce.</w:t>
            </w:r>
            <w:r w:rsidRPr="0062066F">
              <w:rPr>
                <w:rFonts w:ascii="Calibri Light" w:hAnsi="Calibri Light" w:cs="Calibri Light"/>
                <w:i/>
                <w:iCs/>
                <w:color w:val="000000" w:themeColor="text1"/>
              </w:rPr>
              <w:t xml:space="preserve"> </w:t>
            </w:r>
            <w:r w:rsidR="002F4A7A" w:rsidRPr="002F4A7A">
              <w:rPr>
                <w:rFonts w:ascii="Calibri Light" w:hAnsi="Calibri Light" w:cs="Calibri Light"/>
                <w:i/>
                <w:iCs/>
                <w:color w:val="000000" w:themeColor="text1"/>
              </w:rPr>
              <w:t xml:space="preserve">Pertanto, </w:t>
            </w:r>
            <w:r w:rsidR="00410964">
              <w:rPr>
                <w:rFonts w:ascii="Calibri Light" w:hAnsi="Calibri Light" w:cs="Calibri Light"/>
                <w:i/>
                <w:iCs/>
                <w:color w:val="000000" w:themeColor="text1"/>
              </w:rPr>
              <w:t>La presente scheda integra, per un maggiore approfondimento,</w:t>
            </w:r>
            <w:r w:rsidR="00410964" w:rsidRPr="00871D21">
              <w:rPr>
                <w:rFonts w:ascii="Calibri Light" w:hAnsi="Calibri Light" w:cs="Calibri Light"/>
                <w:i/>
                <w:iCs/>
                <w:color w:val="000000" w:themeColor="text1"/>
              </w:rPr>
              <w:t xml:space="preserve"> quanto </w:t>
            </w:r>
            <w:r w:rsidR="00410964">
              <w:rPr>
                <w:rFonts w:ascii="Calibri Light" w:hAnsi="Calibri Light" w:cs="Calibri Light"/>
                <w:i/>
                <w:iCs/>
                <w:color w:val="000000" w:themeColor="text1"/>
              </w:rPr>
              <w:t xml:space="preserve">già </w:t>
            </w:r>
            <w:r w:rsidR="00410964" w:rsidRPr="00871D21">
              <w:rPr>
                <w:rFonts w:ascii="Calibri Light" w:hAnsi="Calibri Light" w:cs="Calibri Light"/>
                <w:i/>
                <w:iCs/>
                <w:color w:val="000000" w:themeColor="text1"/>
              </w:rPr>
              <w:t>previsto in sede di VAS</w:t>
            </w:r>
            <w:r w:rsidR="00905DA9">
              <w:rPr>
                <w:rFonts w:ascii="Calibri Light" w:hAnsi="Calibri Light" w:cs="Calibri Light"/>
                <w:i/>
                <w:iCs/>
                <w:color w:val="000000" w:themeColor="text1"/>
              </w:rPr>
              <w:t>.</w:t>
            </w:r>
          </w:p>
        </w:tc>
      </w:tr>
    </w:tbl>
    <w:p w14:paraId="558FDF50" w14:textId="77777777" w:rsidR="00C86D26" w:rsidRPr="00313BBD" w:rsidRDefault="00C86D26" w:rsidP="00C86D26">
      <w:pPr>
        <w:pStyle w:val="Paragrafoelenco"/>
        <w:ind w:left="720" w:right="418"/>
        <w:jc w:val="both"/>
        <w:rPr>
          <w:rFonts w:ascii="Calibri Light" w:hAnsi="Calibri Light" w:cs="Calibri Light"/>
          <w:color w:val="000000" w:themeColor="text1"/>
        </w:rPr>
      </w:pPr>
    </w:p>
    <w:p w14:paraId="7CE8DAA2" w14:textId="56C6E350" w:rsidR="009421FD" w:rsidRDefault="0092692F" w:rsidP="006B310F">
      <w:pPr>
        <w:pStyle w:val="Paragrafoelenco"/>
        <w:numPr>
          <w:ilvl w:val="0"/>
          <w:numId w:val="21"/>
        </w:numPr>
        <w:ind w:right="418"/>
        <w:jc w:val="both"/>
        <w:rPr>
          <w:rFonts w:ascii="Calibri Light" w:hAnsi="Calibri Light" w:cs="Calibri Light"/>
          <w:color w:val="000000" w:themeColor="text1"/>
        </w:rPr>
      </w:pPr>
      <w:r w:rsidRPr="00C86D26">
        <w:rPr>
          <w:rFonts w:ascii="Calibri Light" w:hAnsi="Calibri Light" w:cs="Calibri Light"/>
          <w:color w:val="000000" w:themeColor="text1"/>
        </w:rPr>
        <w:t>S</w:t>
      </w:r>
      <w:r w:rsidR="00725397" w:rsidRPr="00C86D26">
        <w:rPr>
          <w:rFonts w:ascii="Calibri Light" w:hAnsi="Calibri Light" w:cs="Calibri Light"/>
          <w:color w:val="000000" w:themeColor="text1"/>
        </w:rPr>
        <w:t>chede tecniche</w:t>
      </w:r>
      <w:r>
        <w:rPr>
          <w:rStyle w:val="Rimandonotaapidipagina"/>
          <w:rFonts w:ascii="Calibri Light" w:hAnsi="Calibri Light" w:cs="Calibri Light"/>
          <w:color w:val="000000" w:themeColor="text1"/>
        </w:rPr>
        <w:footnoteReference w:id="2"/>
      </w:r>
      <w:r w:rsidR="009421FD" w:rsidRPr="00C86D26">
        <w:rPr>
          <w:rFonts w:ascii="Calibri Light" w:hAnsi="Calibri Light" w:cs="Calibri Light"/>
          <w:color w:val="000000" w:themeColor="text1"/>
        </w:rPr>
        <w:t xml:space="preserve">, di cui alla “Guida operativa per il rispetto del principio di non arrecare danno significativo all’ambiente”, ai sensi della circolare RGS n. 33 del 13 ottobre 2022, </w:t>
      </w:r>
      <w:r w:rsidR="00725397" w:rsidRPr="00C86D26">
        <w:rPr>
          <w:rFonts w:ascii="Calibri Light" w:hAnsi="Calibri Light" w:cs="Calibri Light"/>
          <w:color w:val="000000" w:themeColor="text1"/>
        </w:rPr>
        <w:t xml:space="preserve">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14:paraId="5AB8299A" w14:textId="77777777" w:rsidR="00C86D26" w:rsidRDefault="00C86D26" w:rsidP="00C86D26">
      <w:pPr>
        <w:pStyle w:val="Paragrafoelenco"/>
        <w:ind w:left="720" w:right="418"/>
        <w:jc w:val="both"/>
        <w:rPr>
          <w:rFonts w:ascii="Calibri Light" w:hAnsi="Calibri Light" w:cs="Calibri Light"/>
          <w:color w:val="000000" w:themeColor="text1"/>
        </w:rPr>
      </w:pPr>
    </w:p>
    <w:tbl>
      <w:tblPr>
        <w:tblStyle w:val="Grigliatabella"/>
        <w:tblW w:w="0" w:type="auto"/>
        <w:tblInd w:w="720" w:type="dxa"/>
        <w:tblLook w:val="04A0" w:firstRow="1" w:lastRow="0" w:firstColumn="1" w:lastColumn="0" w:noHBand="0" w:noVBand="1"/>
      </w:tblPr>
      <w:tblGrid>
        <w:gridCol w:w="10070"/>
      </w:tblGrid>
      <w:tr w:rsidR="00C86D26" w14:paraId="1637A52C" w14:textId="77777777" w:rsidTr="00C86D26">
        <w:tc>
          <w:tcPr>
            <w:tcW w:w="10790" w:type="dxa"/>
          </w:tcPr>
          <w:p w14:paraId="7CF9CCED" w14:textId="2E132310" w:rsidR="001C5EE8" w:rsidRPr="00C86D26" w:rsidRDefault="0062066F" w:rsidP="00C86D26">
            <w:pPr>
              <w:ind w:right="418"/>
              <w:jc w:val="center"/>
              <w:rPr>
                <w:rFonts w:ascii="Calibri Light" w:hAnsi="Calibri Light" w:cs="Calibri Light"/>
                <w:i/>
                <w:iCs/>
                <w:color w:val="000000" w:themeColor="text1"/>
              </w:rPr>
            </w:pPr>
            <w:r w:rsidRPr="0062066F">
              <w:rPr>
                <w:rFonts w:ascii="Calibri Light" w:hAnsi="Calibri Light" w:cs="Calibri Light"/>
                <w:i/>
                <w:iCs/>
                <w:color w:val="000000" w:themeColor="text1"/>
              </w:rPr>
              <w:t>SCHEDA 34 – Dissalatori e Impianti di potabilizzazione</w:t>
            </w:r>
          </w:p>
        </w:tc>
      </w:tr>
    </w:tbl>
    <w:p w14:paraId="7B86DCBF" w14:textId="77777777" w:rsidR="00C86D26" w:rsidRPr="00C86D26" w:rsidRDefault="00C86D26" w:rsidP="00C86D26">
      <w:pPr>
        <w:pStyle w:val="Paragrafoelenco"/>
        <w:ind w:left="720" w:right="418"/>
        <w:jc w:val="both"/>
        <w:rPr>
          <w:rFonts w:ascii="Calibri Light" w:hAnsi="Calibri Light" w:cs="Calibri Light"/>
          <w:color w:val="000000" w:themeColor="text1"/>
        </w:rPr>
      </w:pPr>
    </w:p>
    <w:p w14:paraId="786D5AAE" w14:textId="77777777" w:rsidR="002D6238" w:rsidRDefault="002D6238" w:rsidP="000A004C">
      <w:pPr>
        <w:pStyle w:val="Paragrafoelenco"/>
        <w:ind w:left="720" w:right="418"/>
        <w:jc w:val="both"/>
        <w:rPr>
          <w:rFonts w:ascii="Calibri Light" w:hAnsi="Calibri Light" w:cs="Calibri Light"/>
          <w:color w:val="000000" w:themeColor="text1"/>
        </w:rPr>
      </w:pPr>
    </w:p>
    <w:p w14:paraId="66B7C6AB" w14:textId="6541482A" w:rsidR="008A6A44" w:rsidRDefault="008A6A44" w:rsidP="008A6A4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Prescrizioni e raccomandazioni da ottemperare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6DE87C27" w14:textId="77777777" w:rsidTr="00604925">
        <w:tc>
          <w:tcPr>
            <w:tcW w:w="10790" w:type="dxa"/>
          </w:tcPr>
          <w:p w14:paraId="15F65770" w14:textId="77777777" w:rsidR="00604925" w:rsidRPr="008A6A44" w:rsidRDefault="00604925" w:rsidP="00604925">
            <w:pPr>
              <w:jc w:val="center"/>
              <w:rPr>
                <w:rFonts w:ascii="Calibri Light" w:hAnsi="Calibri Light" w:cs="Calibri Light"/>
                <w:i/>
                <w:iCs/>
                <w:color w:val="000000" w:themeColor="text1"/>
              </w:rPr>
            </w:pPr>
            <w:bookmarkStart w:id="0" w:name="_Hlk194856848"/>
            <w:r w:rsidRPr="008A6A44">
              <w:rPr>
                <w:rFonts w:ascii="Calibri Light" w:hAnsi="Calibri Light" w:cs="Calibri Light"/>
                <w:i/>
                <w:iCs/>
                <w:color w:val="000000" w:themeColor="text1"/>
              </w:rPr>
              <w:t xml:space="preserve">riportare puntualmente le prescrizioni e le raccomandazioni da comunicare </w:t>
            </w:r>
          </w:p>
          <w:p w14:paraId="2685330A" w14:textId="77777777" w:rsidR="00604925" w:rsidRDefault="00604925" w:rsidP="00604925">
            <w:pPr>
              <w:jc w:val="center"/>
              <w:rPr>
                <w:rFonts w:ascii="Calibri Light" w:hAnsi="Calibri Light" w:cs="Calibri Light"/>
                <w:i/>
                <w:iCs/>
                <w:color w:val="000000" w:themeColor="text1"/>
              </w:rPr>
            </w:pPr>
            <w:r w:rsidRPr="008A6A44">
              <w:rPr>
                <w:rFonts w:ascii="Calibri Light" w:hAnsi="Calibri Light" w:cs="Calibri Light"/>
                <w:i/>
                <w:iCs/>
                <w:color w:val="000000" w:themeColor="text1"/>
              </w:rPr>
              <w:t>al beneficiario/soggetto attuatore ai fini del loro ottemperamento</w:t>
            </w:r>
          </w:p>
          <w:p w14:paraId="561407C6" w14:textId="77777777" w:rsidR="0062066F" w:rsidRDefault="001C5EE8" w:rsidP="0062066F">
            <w:pPr>
              <w:pStyle w:val="Paragrafoelenco"/>
              <w:numPr>
                <w:ilvl w:val="0"/>
                <w:numId w:val="24"/>
              </w:numPr>
              <w:ind w:left="0" w:firstLine="0"/>
              <w:jc w:val="both"/>
              <w:rPr>
                <w:rFonts w:ascii="Calibri Light" w:hAnsi="Calibri Light" w:cs="Calibri Light"/>
                <w:color w:val="000000" w:themeColor="text1"/>
              </w:rPr>
            </w:pPr>
            <w:r w:rsidRPr="001C5EE8">
              <w:rPr>
                <w:rFonts w:ascii="Calibri Light" w:hAnsi="Calibri Light" w:cs="Calibri Light"/>
                <w:color w:val="000000" w:themeColor="text1"/>
              </w:rPr>
              <w:t>Il fabbisogno di energia primaria (</w:t>
            </w:r>
            <w:proofErr w:type="spellStart"/>
            <w:r w:rsidRPr="001C5EE8">
              <w:rPr>
                <w:rFonts w:ascii="Calibri Light" w:hAnsi="Calibri Light" w:cs="Calibri Light"/>
                <w:color w:val="000000" w:themeColor="text1"/>
              </w:rPr>
              <w:t>EPgl,tot</w:t>
            </w:r>
            <w:proofErr w:type="spellEnd"/>
            <w:r w:rsidRPr="001C5EE8">
              <w:rPr>
                <w:rFonts w:ascii="Calibri Light" w:hAnsi="Calibri Light" w:cs="Calibri Light"/>
                <w:color w:val="000000" w:themeColor="text1"/>
              </w:rPr>
              <w:t xml:space="preserve">) che definisce la prestazione energetica dell'edificio risultante dalla costruzione è almeno del 20% inferiore alla soglia fissata per i requisiti degli edifici a energia quasi zero NZEB , </w:t>
            </w:r>
            <w:proofErr w:type="spellStart"/>
            <w:r w:rsidRPr="001C5EE8">
              <w:rPr>
                <w:rFonts w:ascii="Calibri Light" w:hAnsi="Calibri Light" w:cs="Calibri Light"/>
                <w:color w:val="000000" w:themeColor="text1"/>
              </w:rPr>
              <w:t>Nearly</w:t>
            </w:r>
            <w:proofErr w:type="spellEnd"/>
            <w:r w:rsidRPr="001C5EE8">
              <w:rPr>
                <w:rFonts w:ascii="Calibri Light" w:hAnsi="Calibri Light" w:cs="Calibri Light"/>
                <w:color w:val="000000" w:themeColor="text1"/>
              </w:rPr>
              <w:t xml:space="preserve"> Zero Energy Building), La soglia fissata per i requisiti degli edifici corrisponde al fabbisogno di energia primaria non rinnovabile dell’edificio c alcolato secondo i parametri energetici, le caratteristiche termiche, di generazione e rispondente ai requisiti definiti nel par. 3.4 dell’Allegato 1 del Decreto Interministeriale 26 giugno 2015 Applicazione delle metodologie di calcolo delle prestazioni energetiche e definizione delle prescrizioni e dei </w:t>
            </w:r>
            <w:r w:rsidRPr="001C5EE8">
              <w:rPr>
                <w:rFonts w:ascii="Calibri Light" w:hAnsi="Calibri Light" w:cs="Calibri Light"/>
                <w:color w:val="000000" w:themeColor="text1"/>
              </w:rPr>
              <w:lastRenderedPageBreak/>
              <w:t>requisiti minimi degli edifici, contrassegnate dall’indicazione 2019/21</w:t>
            </w:r>
            <w:r>
              <w:rPr>
                <w:rFonts w:ascii="Calibri Light" w:hAnsi="Calibri Light" w:cs="Calibri Light"/>
                <w:color w:val="000000" w:themeColor="text1"/>
              </w:rPr>
              <w:t>;</w:t>
            </w:r>
          </w:p>
          <w:p w14:paraId="29DE4931" w14:textId="77777777" w:rsidR="00A26933"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Al fine di limitare le emissioni di gas effetto serra dell’impianto di desalinizzazione</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(compresi i trattamenti, il pompaggio e lo smaltimento della salamoia e il relativo uso</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di energia) dovrà essere predisposta una diagnosi energetica che evidenzi i gCO</w:t>
            </w:r>
            <w:r w:rsidRPr="0062066F">
              <w:rPr>
                <w:rFonts w:ascii="Calibri Light" w:hAnsi="Calibri Light" w:cs="Calibri Light"/>
                <w:color w:val="000000" w:themeColor="text1"/>
                <w:vertAlign w:val="subscript"/>
              </w:rPr>
              <w:t>2</w:t>
            </w:r>
            <w:r w:rsidRPr="0062066F">
              <w:rPr>
                <w:rFonts w:ascii="Calibri Light" w:hAnsi="Calibri Light" w:cs="Calibri Light"/>
                <w:color w:val="000000" w:themeColor="text1"/>
              </w:rPr>
              <w:t>e</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emessi per m</w:t>
            </w:r>
            <w:r w:rsidRPr="0062066F">
              <w:rPr>
                <w:rFonts w:ascii="Calibri Light" w:hAnsi="Calibri Light" w:cs="Calibri Light"/>
                <w:color w:val="000000" w:themeColor="text1"/>
                <w:vertAlign w:val="superscript"/>
              </w:rPr>
              <w:t>3</w:t>
            </w:r>
            <w:r w:rsidRPr="0062066F">
              <w:rPr>
                <w:rFonts w:ascii="Calibri Light" w:hAnsi="Calibri Light" w:cs="Calibri Light"/>
                <w:color w:val="000000" w:themeColor="text1"/>
              </w:rPr>
              <w:t xml:space="preserve"> di acqua dolce prodotta</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Un valore di riferimento cui tendere sono emissioni di gas a effetto serra inferiori a</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1 080 gCO2e/m3 di acqua dolce prodotta</w:t>
            </w:r>
            <w:r w:rsidRPr="0062066F">
              <w:rPr>
                <w:rFonts w:ascii="Calibri Light" w:hAnsi="Calibri Light" w:cs="Calibri Light"/>
                <w:color w:val="000000" w:themeColor="text1"/>
              </w:rPr>
              <w:t>;</w:t>
            </w:r>
          </w:p>
          <w:p w14:paraId="1065E008"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Al fine di garantire che gli impianti di dissalazione non arrechino un danno significativo alle acque e alle risorse marine, dovranno essere seguiti i criteri previsti dall’Appendice B del Regolamento Delegato (UE) 2021/2139 che integra il Regolamento (UE) 2020/852 del Parlamento e del Consiglio che descrive i criteri DNSH generici per l'uso sostenibile e la protezione delle acque e delle risorse marine</w:t>
            </w:r>
            <w:r>
              <w:rPr>
                <w:rFonts w:ascii="Calibri Light" w:hAnsi="Calibri Light" w:cs="Calibri Light"/>
                <w:color w:val="000000" w:themeColor="text1"/>
              </w:rPr>
              <w:t>;</w:t>
            </w:r>
          </w:p>
          <w:p w14:paraId="55B2434E"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Gli interventi inoltre non dovranno essere in contrasto con i target definiti nell’ambito della Direttiva Quadro sulla Strategia per l’Ambiente Marino 2008/56/CE), recepita dal D. Lgs. 190/2010</w:t>
            </w:r>
            <w:r>
              <w:rPr>
                <w:rFonts w:ascii="Calibri Light" w:hAnsi="Calibri Light" w:cs="Calibri Light"/>
                <w:color w:val="000000" w:themeColor="text1"/>
              </w:rPr>
              <w:t>;</w:t>
            </w:r>
          </w:p>
          <w:p w14:paraId="6A4C51BF"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i rischi di degrado ambientale connessi alla conservazione della qualità dell'acqua e alla prevenzione dello stress idrico sono preliminarmente individuati e affrontati con l'obiettivo di conseguire un buono stato delle acque e un buon potenziale ecologico conformemente alla Direttiva 2000/60/CE del Parlamento europeo e del Consiglio229 e a un piano di gestione dell'uso e della protezione delle acque elaborato in tale ambito, per i corpi idrici potenzialmente interessati, in consultazione con i portatori di interessi pertinenti</w:t>
            </w:r>
            <w:r>
              <w:rPr>
                <w:rFonts w:ascii="Calibri Light" w:hAnsi="Calibri Light" w:cs="Calibri Light"/>
                <w:color w:val="000000" w:themeColor="text1"/>
              </w:rPr>
              <w:t>;</w:t>
            </w:r>
          </w:p>
          <w:p w14:paraId="764864D7"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Al fine di limitare le anomalie termiche connesse allo scarico del calore di scarto, il gestore degli impianti di desalinizzazione controlla: la temperatura massima del corpo di acqua marina ricevente dopo la miscelazione; la differenza massima di temperatura tra le acque di salamoia scaricate e il corpo di acqua marina ricevente</w:t>
            </w:r>
            <w:r>
              <w:rPr>
                <w:rFonts w:ascii="Calibri Light" w:hAnsi="Calibri Light" w:cs="Calibri Light"/>
                <w:color w:val="000000" w:themeColor="text1"/>
              </w:rPr>
              <w:t>;</w:t>
            </w:r>
          </w:p>
          <w:p w14:paraId="62B4A497"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Pr>
                <w:rFonts w:ascii="Calibri Light" w:hAnsi="Calibri Light" w:cs="Calibri Light"/>
                <w:color w:val="000000" w:themeColor="text1"/>
              </w:rPr>
              <w:t>I</w:t>
            </w:r>
            <w:r w:rsidRPr="0062066F">
              <w:rPr>
                <w:rFonts w:ascii="Calibri Light" w:hAnsi="Calibri Light" w:cs="Calibri Light"/>
                <w:color w:val="000000" w:themeColor="text1"/>
              </w:rPr>
              <w:t>n ottica di riduzione degli sprechi della risorsa idrica andranno minimizzate le perdite di acqua potabilizzata di rete, dal dissalatore alle utenze.</w:t>
            </w:r>
          </w:p>
          <w:p w14:paraId="2105CF1C" w14:textId="77777777" w:rsidR="0062066F" w:rsidRDefault="0062066F" w:rsidP="0062066F">
            <w:pPr>
              <w:pStyle w:val="Paragrafoelenco"/>
              <w:numPr>
                <w:ilvl w:val="0"/>
                <w:numId w:val="24"/>
              </w:numPr>
              <w:ind w:left="0" w:firstLine="0"/>
              <w:jc w:val="both"/>
              <w:rPr>
                <w:rFonts w:ascii="Calibri Light" w:hAnsi="Calibri Light" w:cs="Calibri Light"/>
                <w:color w:val="000000" w:themeColor="text1"/>
              </w:rPr>
            </w:pPr>
            <w:r w:rsidRPr="0062066F">
              <w:rPr>
                <w:rFonts w:ascii="Calibri Light" w:hAnsi="Calibri Light" w:cs="Calibri Light"/>
                <w:color w:val="000000" w:themeColor="text1"/>
              </w:rPr>
              <w:t>È necessario, in fase di progettazione dell’impianto, tenere conto della vita limitata</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dell’impianto così da predisporre il disassemblaggio e il successivo recupero delle</w:t>
            </w:r>
            <w:r w:rsidRPr="0062066F">
              <w:rPr>
                <w:rFonts w:ascii="Calibri Light" w:hAnsi="Calibri Light" w:cs="Calibri Light"/>
                <w:color w:val="000000" w:themeColor="text1"/>
              </w:rPr>
              <w:t xml:space="preserve"> </w:t>
            </w:r>
            <w:r w:rsidRPr="0062066F">
              <w:rPr>
                <w:rFonts w:ascii="Calibri Light" w:hAnsi="Calibri Light" w:cs="Calibri Light"/>
                <w:color w:val="000000" w:themeColor="text1"/>
              </w:rPr>
              <w:t>sue componenti.</w:t>
            </w:r>
          </w:p>
          <w:p w14:paraId="33545B87" w14:textId="77777777" w:rsidR="001B5048" w:rsidRDefault="001B5048" w:rsidP="001B5048">
            <w:pPr>
              <w:pStyle w:val="Paragrafoelenco"/>
              <w:numPr>
                <w:ilvl w:val="0"/>
                <w:numId w:val="24"/>
              </w:numPr>
              <w:ind w:left="0" w:firstLine="0"/>
              <w:jc w:val="both"/>
              <w:rPr>
                <w:rFonts w:ascii="Calibri Light" w:hAnsi="Calibri Light" w:cs="Calibri Light"/>
                <w:color w:val="000000" w:themeColor="text1"/>
              </w:rPr>
            </w:pPr>
            <w:r>
              <w:rPr>
                <w:rFonts w:ascii="Calibri Light" w:hAnsi="Calibri Light" w:cs="Calibri Light"/>
                <w:color w:val="000000" w:themeColor="text1"/>
              </w:rPr>
              <w:t>Nella</w:t>
            </w:r>
            <w:r w:rsidRPr="001B5048">
              <w:rPr>
                <w:rFonts w:ascii="Calibri Light" w:hAnsi="Calibri Light" w:cs="Calibri Light"/>
                <w:color w:val="000000" w:themeColor="text1"/>
              </w:rPr>
              <w:t xml:space="preserve"> produzione di acqua desalinizzata</w:t>
            </w:r>
            <w:r>
              <w:rPr>
                <w:rFonts w:ascii="Calibri Light" w:hAnsi="Calibri Light" w:cs="Calibri Light"/>
                <w:color w:val="000000" w:themeColor="text1"/>
              </w:rPr>
              <w:t xml:space="preserve">, </w:t>
            </w:r>
            <w:r w:rsidRPr="001B5048">
              <w:rPr>
                <w:rFonts w:ascii="Calibri Light" w:hAnsi="Calibri Light" w:cs="Calibri Light"/>
                <w:color w:val="000000" w:themeColor="text1"/>
              </w:rPr>
              <w:t>lo smaltimento della salamoia dovrebbe basarsi su uno studio di impatto ambientale comprendente la valutazione degli effetti causati nel sito dallo smaltimento della salamoia nell’ambiente marino, volto a definire criteri per lo scarico sicuro della salamoia, tra cui obiettivi minimi di diluizione della salamoia specifici per sito, basati su un’adeguata caratterizzazione delle condizioni delle acque, degli ecosistemi, delle specie e degli habitat locali, al fine di mitigare i possibili effetti negativi dello smaltimento della salamoia.</w:t>
            </w:r>
          </w:p>
          <w:p w14:paraId="67CB33DB" w14:textId="77777777" w:rsidR="001B5048" w:rsidRDefault="001B5048" w:rsidP="001B5048">
            <w:pPr>
              <w:pStyle w:val="Paragrafoelenco"/>
              <w:numPr>
                <w:ilvl w:val="0"/>
                <w:numId w:val="24"/>
              </w:numPr>
              <w:ind w:left="0" w:firstLine="0"/>
              <w:jc w:val="both"/>
              <w:rPr>
                <w:rFonts w:ascii="Calibri Light" w:hAnsi="Calibri Light" w:cs="Calibri Light"/>
                <w:color w:val="000000" w:themeColor="text1"/>
              </w:rPr>
            </w:pPr>
            <w:r>
              <w:rPr>
                <w:rFonts w:ascii="Calibri Light" w:hAnsi="Calibri Light" w:cs="Calibri Light"/>
                <w:color w:val="000000" w:themeColor="text1"/>
              </w:rPr>
              <w:t>D</w:t>
            </w:r>
            <w:r w:rsidRPr="001B5048">
              <w:rPr>
                <w:rFonts w:ascii="Calibri Light" w:hAnsi="Calibri Light" w:cs="Calibri Light"/>
                <w:color w:val="000000" w:themeColor="text1"/>
              </w:rPr>
              <w:t>ovrà essere acquisita la relativa autorizzazione allo scarico (in conformità alla disciplina degli scarichi di cui alla parte terza del D. Lgs. 3 aprile 2006, n. 152.) e rispettati i limiti allo scarico ivi stabiliti, compreso l'incremento</w:t>
            </w:r>
            <w:r>
              <w:rPr>
                <w:rFonts w:ascii="Calibri Light" w:hAnsi="Calibri Light" w:cs="Calibri Light"/>
                <w:color w:val="000000" w:themeColor="text1"/>
              </w:rPr>
              <w:t xml:space="preserve"> </w:t>
            </w:r>
            <w:r w:rsidRPr="001B5048">
              <w:rPr>
                <w:rFonts w:ascii="Calibri Light" w:hAnsi="Calibri Light" w:cs="Calibri Light"/>
                <w:color w:val="000000" w:themeColor="text1"/>
              </w:rPr>
              <w:t>percentuale massimo di salinità del corpo recipiente entro un raggio di 50 metri dallo</w:t>
            </w:r>
            <w:r w:rsidRPr="001B5048">
              <w:rPr>
                <w:rFonts w:ascii="Calibri Light" w:hAnsi="Calibri Light" w:cs="Calibri Light"/>
                <w:color w:val="000000" w:themeColor="text1"/>
              </w:rPr>
              <w:t xml:space="preserve"> </w:t>
            </w:r>
            <w:r w:rsidRPr="001B5048">
              <w:rPr>
                <w:rFonts w:ascii="Calibri Light" w:hAnsi="Calibri Light" w:cs="Calibri Light"/>
                <w:color w:val="000000" w:themeColor="text1"/>
              </w:rPr>
              <w:t>scarico</w:t>
            </w:r>
            <w:r>
              <w:rPr>
                <w:rFonts w:ascii="Calibri Light" w:hAnsi="Calibri Light" w:cs="Calibri Light"/>
                <w:color w:val="000000" w:themeColor="text1"/>
              </w:rPr>
              <w:t>.</w:t>
            </w:r>
          </w:p>
          <w:p w14:paraId="660BCDF1" w14:textId="06F3F610" w:rsidR="001B5048" w:rsidRPr="001B5048" w:rsidRDefault="001B5048" w:rsidP="001B5048">
            <w:pPr>
              <w:pStyle w:val="Paragrafoelenco"/>
              <w:numPr>
                <w:ilvl w:val="0"/>
                <w:numId w:val="24"/>
              </w:numPr>
              <w:ind w:left="0" w:firstLine="0"/>
              <w:jc w:val="both"/>
              <w:rPr>
                <w:rFonts w:ascii="Calibri Light" w:hAnsi="Calibri Light" w:cs="Calibri Light"/>
                <w:color w:val="000000" w:themeColor="text1"/>
              </w:rPr>
            </w:pPr>
            <w:r w:rsidRPr="001B5048">
              <w:rPr>
                <w:rFonts w:ascii="Calibri Light" w:hAnsi="Calibri Light" w:cs="Calibri Light"/>
                <w:color w:val="000000" w:themeColor="text1"/>
              </w:rPr>
              <w:t>Le opere di captazione dovranno essere realizzate in modo da rispettare i requisiti del</w:t>
            </w:r>
            <w:r>
              <w:rPr>
                <w:rFonts w:ascii="Calibri Light" w:hAnsi="Calibri Light" w:cs="Calibri Light"/>
                <w:color w:val="000000" w:themeColor="text1"/>
              </w:rPr>
              <w:t xml:space="preserve"> </w:t>
            </w:r>
            <w:r w:rsidRPr="001B5048">
              <w:rPr>
                <w:rFonts w:ascii="Calibri Light" w:hAnsi="Calibri Light" w:cs="Calibri Light"/>
                <w:color w:val="000000" w:themeColor="text1"/>
              </w:rPr>
              <w:t xml:space="preserve">quadro normativo Europeo, e in particolare la Direttiva 2008/56/CE, Quadro sulla strategia per la protezione dell’ambiente marino. Dovrà essere garantito che gli impianti non abbiano impatti negativi sulla biodiversità. La qualità e la presenza di habitat nonché la distribuzione e l’abbondanza delle specie devono essere in linea con le prevalenti condizioni </w:t>
            </w:r>
            <w:proofErr w:type="spellStart"/>
            <w:r w:rsidRPr="001B5048">
              <w:rPr>
                <w:rFonts w:ascii="Calibri Light" w:hAnsi="Calibri Light" w:cs="Calibri Light"/>
                <w:color w:val="000000" w:themeColor="text1"/>
              </w:rPr>
              <w:t>fisiografiche</w:t>
            </w:r>
            <w:proofErr w:type="spellEnd"/>
            <w:r w:rsidRPr="001B5048">
              <w:rPr>
                <w:rFonts w:ascii="Calibri Light" w:hAnsi="Calibri Light" w:cs="Calibri Light"/>
                <w:color w:val="000000" w:themeColor="text1"/>
              </w:rPr>
              <w:t>, geografiche e climatiche. (Allegato I, descrittore 1230 Direttiva 2008/56/CE). Questo vincolo dovrà essere rispettato anche applicando i criteri e le norme metodologiche relativi al buono stato ecologico delle acque marine nonché le specifiche e i metodi standardizzati di monitoraggio e valutazione della Decisione (UE) 2017/848 della Commissione.</w:t>
            </w:r>
          </w:p>
        </w:tc>
      </w:tr>
      <w:bookmarkEnd w:id="0"/>
    </w:tbl>
    <w:p w14:paraId="740D09F5" w14:textId="77777777" w:rsidR="00604925" w:rsidRPr="00313BBD" w:rsidRDefault="00604925" w:rsidP="00604925">
      <w:pPr>
        <w:pStyle w:val="Paragrafoelenco"/>
        <w:ind w:left="720" w:right="418"/>
        <w:jc w:val="both"/>
        <w:rPr>
          <w:rFonts w:ascii="Calibri Light" w:hAnsi="Calibri Light" w:cs="Calibri Light"/>
          <w:color w:val="000000" w:themeColor="text1"/>
        </w:rPr>
      </w:pPr>
    </w:p>
    <w:p w14:paraId="29B63463" w14:textId="41BA18E9" w:rsidR="002129E4" w:rsidRPr="00313BBD"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Elementi di verifica ex ante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4AB13E9B" w14:textId="77777777" w:rsidTr="00604925">
        <w:trPr>
          <w:trHeight w:val="3918"/>
        </w:trPr>
        <w:tc>
          <w:tcPr>
            <w:tcW w:w="10790" w:type="dxa"/>
          </w:tcPr>
          <w:p w14:paraId="601F1E11" w14:textId="68A9C63F" w:rsidR="00604925" w:rsidRDefault="00604925" w:rsidP="00604925">
            <w:pPr>
              <w:pStyle w:val="Paragrafoelenco"/>
              <w:numPr>
                <w:ilvl w:val="0"/>
                <w:numId w:val="25"/>
              </w:numPr>
              <w:ind w:left="0" w:firstLine="0"/>
              <w:jc w:val="both"/>
              <w:rPr>
                <w:rFonts w:ascii="Calibri Light" w:hAnsi="Calibri Light" w:cs="Calibri Light"/>
                <w:b/>
                <w:bCs/>
                <w:color w:val="000000" w:themeColor="text1"/>
                <w:u w:val="single"/>
              </w:rPr>
            </w:pPr>
            <w:bookmarkStart w:id="1" w:name="_Hlk194856868"/>
            <w:r w:rsidRPr="00604925">
              <w:rPr>
                <w:rFonts w:ascii="Calibri Light" w:hAnsi="Calibri Light" w:cs="Calibri Light"/>
                <w:b/>
                <w:bCs/>
                <w:color w:val="000000" w:themeColor="text1"/>
                <w:u w:val="single"/>
              </w:rPr>
              <w:lastRenderedPageBreak/>
              <w:t>Mitigazione del cambiamento climatico</w:t>
            </w:r>
            <w:r>
              <w:rPr>
                <w:rFonts w:ascii="Calibri Light" w:hAnsi="Calibri Light" w:cs="Calibri Light"/>
                <w:b/>
                <w:bCs/>
                <w:color w:val="000000" w:themeColor="text1"/>
                <w:u w:val="single"/>
              </w:rPr>
              <w:t>.</w:t>
            </w:r>
          </w:p>
          <w:p w14:paraId="6A489AEC" w14:textId="534F9B92" w:rsidR="0062066F" w:rsidRPr="0062066F" w:rsidRDefault="0062066F" w:rsidP="0062066F">
            <w:pPr>
              <w:jc w:val="both"/>
              <w:rPr>
                <w:rFonts w:ascii="Calibri Light" w:hAnsi="Calibri Light" w:cs="Calibri Light"/>
                <w:color w:val="000000" w:themeColor="text1"/>
              </w:rPr>
            </w:pPr>
            <w:r w:rsidRPr="0062066F">
              <w:rPr>
                <w:rFonts w:ascii="Calibri Light" w:hAnsi="Calibri Light" w:cs="Calibri Light"/>
                <w:color w:val="000000" w:themeColor="text1"/>
              </w:rPr>
              <w:t>Valutazione della possibilità di approvvigionare l’energia elettrica da fonti</w:t>
            </w:r>
            <w:r>
              <w:rPr>
                <w:rFonts w:ascii="Calibri Light" w:hAnsi="Calibri Light" w:cs="Calibri Light"/>
                <w:color w:val="000000" w:themeColor="text1"/>
              </w:rPr>
              <w:t xml:space="preserve"> </w:t>
            </w:r>
            <w:r w:rsidRPr="0062066F">
              <w:rPr>
                <w:rFonts w:ascii="Calibri Light" w:hAnsi="Calibri Light" w:cs="Calibri Light"/>
                <w:color w:val="000000" w:themeColor="text1"/>
              </w:rPr>
              <w:t>rinnovabili.</w:t>
            </w:r>
          </w:p>
          <w:p w14:paraId="35511A08" w14:textId="77777777" w:rsidR="0062066F" w:rsidRDefault="0062066F" w:rsidP="0062066F">
            <w:pPr>
              <w:jc w:val="both"/>
              <w:rPr>
                <w:rFonts w:ascii="Calibri Light" w:hAnsi="Calibri Light" w:cs="Calibri Light"/>
                <w:color w:val="000000" w:themeColor="text1"/>
              </w:rPr>
            </w:pPr>
            <w:r w:rsidRPr="0062066F">
              <w:rPr>
                <w:rFonts w:ascii="Calibri Light" w:hAnsi="Calibri Light" w:cs="Calibri Light"/>
                <w:color w:val="000000" w:themeColor="text1"/>
              </w:rPr>
              <w:t>Verifica della presenza di eventuali vincoli dettati dalle liste di esclusione</w:t>
            </w:r>
            <w:r>
              <w:rPr>
                <w:rFonts w:ascii="Calibri Light" w:hAnsi="Calibri Light" w:cs="Calibri Light"/>
                <w:color w:val="000000" w:themeColor="text1"/>
              </w:rPr>
              <w:t xml:space="preserve"> </w:t>
            </w:r>
            <w:r w:rsidRPr="0062066F">
              <w:rPr>
                <w:rFonts w:ascii="Calibri Light" w:hAnsi="Calibri Light" w:cs="Calibri Light"/>
                <w:color w:val="000000" w:themeColor="text1"/>
              </w:rPr>
              <w:t>applicabili alla misura, ad esempio il diviato di utilizzo di combustibili fossili,</w:t>
            </w:r>
            <w:r>
              <w:rPr>
                <w:rFonts w:ascii="Calibri Light" w:hAnsi="Calibri Light" w:cs="Calibri Light"/>
                <w:color w:val="000000" w:themeColor="text1"/>
              </w:rPr>
              <w:t xml:space="preserve"> </w:t>
            </w:r>
            <w:r w:rsidRPr="0062066F">
              <w:rPr>
                <w:rFonts w:ascii="Calibri Light" w:hAnsi="Calibri Light" w:cs="Calibri Light"/>
                <w:color w:val="000000" w:themeColor="text1"/>
              </w:rPr>
              <w:t>compreso l'uso a valle, o dal tagging ambientale</w:t>
            </w:r>
            <w:r>
              <w:rPr>
                <w:rFonts w:ascii="Calibri Light" w:hAnsi="Calibri Light" w:cs="Calibri Light"/>
                <w:color w:val="000000" w:themeColor="text1"/>
              </w:rPr>
              <w:t>;</w:t>
            </w:r>
          </w:p>
          <w:p w14:paraId="0C93DF32" w14:textId="036075E8" w:rsidR="00604925" w:rsidRDefault="00604925" w:rsidP="0062066F">
            <w:pPr>
              <w:pStyle w:val="Paragrafoelenco"/>
              <w:numPr>
                <w:ilvl w:val="0"/>
                <w:numId w:val="25"/>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Adattamento ai cambiamenti climatici</w:t>
            </w:r>
          </w:p>
          <w:p w14:paraId="0382902B" w14:textId="691FCA6A" w:rsidR="0054776E" w:rsidRPr="0054776E" w:rsidRDefault="0054776E" w:rsidP="0054776E">
            <w:pPr>
              <w:jc w:val="both"/>
              <w:rPr>
                <w:rFonts w:ascii="Calibri Light" w:hAnsi="Calibri Light" w:cs="Calibri Light"/>
                <w:color w:val="000000" w:themeColor="text1"/>
              </w:rPr>
            </w:pPr>
            <w:r w:rsidRPr="0054776E">
              <w:rPr>
                <w:rFonts w:ascii="Calibri Light" w:hAnsi="Calibri Light" w:cs="Calibri Light"/>
                <w:color w:val="000000" w:themeColor="text1"/>
              </w:rPr>
              <w:t>Redazione In fase di progettazione del report di analisi dell’adattabilità</w:t>
            </w:r>
            <w:r w:rsidR="0062066F">
              <w:rPr>
                <w:rFonts w:ascii="Calibri Light" w:hAnsi="Calibri Light" w:cs="Calibri Light"/>
                <w:color w:val="000000" w:themeColor="text1"/>
              </w:rPr>
              <w:t xml:space="preserve"> e</w:t>
            </w:r>
            <w:r>
              <w:rPr>
                <w:rFonts w:ascii="Calibri Light" w:hAnsi="Calibri Light" w:cs="Calibri Light"/>
                <w:color w:val="000000" w:themeColor="text1"/>
              </w:rPr>
              <w:t xml:space="preserve"> </w:t>
            </w:r>
            <w:r w:rsidR="0062066F" w:rsidRPr="0062066F">
              <w:rPr>
                <w:rFonts w:ascii="Calibri Light" w:hAnsi="Calibri Light" w:cs="Calibri Light"/>
                <w:color w:val="000000" w:themeColor="text1"/>
              </w:rPr>
              <w:t>Autorizzazione del progetto</w:t>
            </w:r>
            <w:r w:rsidR="0062066F">
              <w:rPr>
                <w:rFonts w:ascii="Calibri Light" w:hAnsi="Calibri Light" w:cs="Calibri Light"/>
                <w:color w:val="000000" w:themeColor="text1"/>
              </w:rPr>
              <w:t>;</w:t>
            </w:r>
          </w:p>
          <w:p w14:paraId="6C9657B9" w14:textId="77777777" w:rsidR="0054776E" w:rsidRPr="0054776E" w:rsidRDefault="0054776E" w:rsidP="0054776E">
            <w:pPr>
              <w:pStyle w:val="Paragrafoelenco"/>
              <w:numPr>
                <w:ilvl w:val="0"/>
                <w:numId w:val="25"/>
              </w:numPr>
              <w:ind w:left="0" w:firstLine="0"/>
              <w:jc w:val="both"/>
              <w:rPr>
                <w:rFonts w:ascii="Calibri Light" w:hAnsi="Calibri Light" w:cs="Calibri Light"/>
                <w:color w:val="000000" w:themeColor="text1"/>
              </w:rPr>
            </w:pPr>
            <w:r w:rsidRPr="0054776E">
              <w:rPr>
                <w:rFonts w:ascii="Calibri Light" w:hAnsi="Calibri Light" w:cs="Calibri Light"/>
                <w:b/>
                <w:bCs/>
                <w:color w:val="000000" w:themeColor="text1"/>
                <w:u w:val="single"/>
              </w:rPr>
              <w:t xml:space="preserve">Uso sostenibile e protezione delle acque e delle risorse marine </w:t>
            </w:r>
          </w:p>
          <w:p w14:paraId="517B8817" w14:textId="77777777" w:rsidR="0062066F" w:rsidRDefault="0062066F" w:rsidP="0062066F">
            <w:pPr>
              <w:pStyle w:val="Paragrafoelenco"/>
              <w:ind w:left="0"/>
              <w:jc w:val="both"/>
              <w:rPr>
                <w:rFonts w:ascii="Calibri Light" w:hAnsi="Calibri Light" w:cs="Calibri Light"/>
                <w:color w:val="000000" w:themeColor="text1"/>
              </w:rPr>
            </w:pPr>
            <w:r w:rsidRPr="0062066F">
              <w:rPr>
                <w:rFonts w:ascii="Calibri Light" w:hAnsi="Calibri Light" w:cs="Calibri Light"/>
                <w:color w:val="000000" w:themeColor="text1"/>
              </w:rPr>
              <w:t>Valutazione dell’impatto sulla risorsa marina, compreso lo scarico del calore di scarto;</w:t>
            </w:r>
            <w:r w:rsidRPr="0062066F">
              <w:rPr>
                <w:rFonts w:ascii="Calibri Light" w:hAnsi="Calibri Light" w:cs="Calibri Light"/>
                <w:color w:val="000000" w:themeColor="text1"/>
              </w:rPr>
              <w:t xml:space="preserve"> </w:t>
            </w:r>
          </w:p>
          <w:p w14:paraId="7894B1D7" w14:textId="27B47865" w:rsidR="00A26933" w:rsidRPr="006F66E3" w:rsidRDefault="00A26933" w:rsidP="0062066F">
            <w:pPr>
              <w:pStyle w:val="Paragrafoelenco"/>
              <w:numPr>
                <w:ilvl w:val="0"/>
                <w:numId w:val="25"/>
              </w:numPr>
              <w:ind w:left="0" w:firstLine="0"/>
              <w:jc w:val="both"/>
              <w:rPr>
                <w:rFonts w:ascii="Calibri Light" w:hAnsi="Calibri Light" w:cs="Calibri Light"/>
                <w:color w:val="000000" w:themeColor="text1"/>
              </w:rPr>
            </w:pPr>
            <w:r w:rsidRPr="006F66E3">
              <w:rPr>
                <w:rFonts w:ascii="Calibri Light" w:hAnsi="Calibri Light" w:cs="Calibri Light"/>
                <w:b/>
                <w:bCs/>
                <w:color w:val="000000" w:themeColor="text1"/>
                <w:u w:val="single"/>
              </w:rPr>
              <w:t>Economia circolare</w:t>
            </w:r>
          </w:p>
          <w:p w14:paraId="7530FD94" w14:textId="1D9CBFCF" w:rsidR="0062066F" w:rsidRDefault="0062066F" w:rsidP="0062066F">
            <w:pPr>
              <w:jc w:val="both"/>
              <w:rPr>
                <w:rFonts w:ascii="Calibri Light" w:hAnsi="Calibri Light" w:cs="Calibri Light"/>
                <w:b/>
                <w:bCs/>
                <w:color w:val="000000" w:themeColor="text1"/>
                <w:u w:val="single"/>
              </w:rPr>
            </w:pPr>
            <w:r w:rsidRPr="0062066F">
              <w:rPr>
                <w:rFonts w:ascii="Calibri Light" w:hAnsi="Calibri Light" w:cs="Calibri Light"/>
                <w:color w:val="000000" w:themeColor="text1"/>
              </w:rPr>
              <w:t>Predisposizione di un piano di gestione dei rifiuti che preveda sia la fase di</w:t>
            </w:r>
            <w:r>
              <w:rPr>
                <w:rFonts w:ascii="Calibri Light" w:hAnsi="Calibri Light" w:cs="Calibri Light"/>
                <w:color w:val="000000" w:themeColor="text1"/>
              </w:rPr>
              <w:t xml:space="preserve"> </w:t>
            </w:r>
            <w:r w:rsidRPr="0062066F">
              <w:rPr>
                <w:rFonts w:ascii="Calibri Light" w:hAnsi="Calibri Light" w:cs="Calibri Light"/>
                <w:color w:val="000000" w:themeColor="text1"/>
              </w:rPr>
              <w:t xml:space="preserve">utilizzo </w:t>
            </w:r>
            <w:proofErr w:type="gramStart"/>
            <w:r w:rsidRPr="0062066F">
              <w:rPr>
                <w:rFonts w:ascii="Calibri Light" w:hAnsi="Calibri Light" w:cs="Calibri Light"/>
                <w:color w:val="000000" w:themeColor="text1"/>
              </w:rPr>
              <w:t>( che</w:t>
            </w:r>
            <w:proofErr w:type="gramEnd"/>
            <w:r w:rsidRPr="0062066F">
              <w:rPr>
                <w:rFonts w:ascii="Calibri Light" w:hAnsi="Calibri Light" w:cs="Calibri Light"/>
                <w:color w:val="000000" w:themeColor="text1"/>
              </w:rPr>
              <w:t xml:space="preserve"> il fine vita del l’impianto secondo la gerarchia dei</w:t>
            </w:r>
            <w:r>
              <w:rPr>
                <w:rFonts w:ascii="Calibri Light" w:hAnsi="Calibri Light" w:cs="Calibri Light"/>
                <w:color w:val="000000" w:themeColor="text1"/>
              </w:rPr>
              <w:t xml:space="preserve"> </w:t>
            </w:r>
            <w:r w:rsidRPr="0062066F">
              <w:rPr>
                <w:rFonts w:ascii="Calibri Light" w:hAnsi="Calibri Light" w:cs="Calibri Light"/>
                <w:color w:val="000000" w:themeColor="text1"/>
              </w:rPr>
              <w:t>rifiuti, massimizzandone il riciclo e il recupero.</w:t>
            </w:r>
            <w:r>
              <w:rPr>
                <w:rFonts w:ascii="Calibri Light" w:hAnsi="Calibri Light" w:cs="Calibri Light"/>
                <w:color w:val="000000" w:themeColor="text1"/>
              </w:rPr>
              <w:t>;</w:t>
            </w:r>
          </w:p>
          <w:p w14:paraId="3D3C5439" w14:textId="354A0F12" w:rsidR="00E30D1F" w:rsidRPr="00E30D1F" w:rsidRDefault="00E30D1F" w:rsidP="001B5048">
            <w:pPr>
              <w:pStyle w:val="Paragrafoelenco"/>
              <w:numPr>
                <w:ilvl w:val="0"/>
                <w:numId w:val="25"/>
              </w:numPr>
              <w:ind w:left="0" w:firstLine="0"/>
              <w:jc w:val="both"/>
              <w:rPr>
                <w:rFonts w:ascii="Calibri Light" w:hAnsi="Calibri Light" w:cs="Calibri Light"/>
                <w:color w:val="000000" w:themeColor="text1"/>
              </w:rPr>
            </w:pPr>
            <w:r>
              <w:rPr>
                <w:rFonts w:ascii="Calibri Light" w:hAnsi="Calibri Light" w:cs="Calibri Light"/>
                <w:b/>
                <w:bCs/>
                <w:color w:val="000000" w:themeColor="text1"/>
                <w:u w:val="single"/>
              </w:rPr>
              <w:t>Prevenzione e riduzione dell’inquinamento</w:t>
            </w:r>
          </w:p>
          <w:p w14:paraId="7D553029" w14:textId="2F33EA95" w:rsidR="00E30D1F" w:rsidRDefault="001B5048" w:rsidP="00E30D1F">
            <w:pPr>
              <w:jc w:val="both"/>
              <w:rPr>
                <w:rFonts w:ascii="Calibri Light" w:hAnsi="Calibri Light" w:cs="Calibri Light"/>
                <w:b/>
                <w:bCs/>
                <w:color w:val="000000" w:themeColor="text1"/>
                <w:u w:val="single"/>
              </w:rPr>
            </w:pPr>
            <w:r>
              <w:rPr>
                <w:rFonts w:ascii="Calibri Light" w:hAnsi="Calibri Light" w:cs="Calibri Light"/>
                <w:color w:val="000000" w:themeColor="text1"/>
              </w:rPr>
              <w:t>S</w:t>
            </w:r>
            <w:r w:rsidRPr="001B5048">
              <w:rPr>
                <w:rFonts w:ascii="Calibri Light" w:hAnsi="Calibri Light" w:cs="Calibri Light"/>
                <w:color w:val="000000" w:themeColor="text1"/>
              </w:rPr>
              <w:t>tudio di impatto sullo smaltimento della salamoia</w:t>
            </w:r>
            <w:r w:rsidRPr="001B5048">
              <w:rPr>
                <w:rFonts w:ascii="Calibri Light" w:hAnsi="Calibri Light" w:cs="Calibri Light"/>
                <w:color w:val="000000" w:themeColor="text1"/>
              </w:rPr>
              <w:t xml:space="preserve"> </w:t>
            </w:r>
            <w:r w:rsidR="00EE56E1" w:rsidRPr="00EE56E1">
              <w:rPr>
                <w:rFonts w:ascii="Calibri Light" w:hAnsi="Calibri Light" w:cs="Calibri Light"/>
                <w:color w:val="000000" w:themeColor="text1"/>
              </w:rPr>
              <w:t>(MCA)</w:t>
            </w:r>
            <w:r>
              <w:rPr>
                <w:rFonts w:ascii="Calibri Light" w:hAnsi="Calibri Light" w:cs="Calibri Light"/>
                <w:color w:val="000000" w:themeColor="text1"/>
              </w:rPr>
              <w:t>, o</w:t>
            </w:r>
            <w:r w:rsidRPr="001B5048">
              <w:rPr>
                <w:rFonts w:ascii="Calibri Light" w:hAnsi="Calibri Light" w:cs="Calibri Light"/>
                <w:color w:val="000000" w:themeColor="text1"/>
              </w:rPr>
              <w:t>ttenimento dell’autorizzazione allo scarico</w:t>
            </w:r>
            <w:r>
              <w:rPr>
                <w:rFonts w:ascii="Calibri Light" w:hAnsi="Calibri Light" w:cs="Calibri Light"/>
                <w:color w:val="000000" w:themeColor="text1"/>
              </w:rPr>
              <w:t xml:space="preserve"> e s</w:t>
            </w:r>
            <w:r w:rsidRPr="001B5048">
              <w:rPr>
                <w:rFonts w:ascii="Calibri Light" w:hAnsi="Calibri Light" w:cs="Calibri Light"/>
                <w:color w:val="000000" w:themeColor="text1"/>
              </w:rPr>
              <w:t>volgimento di una valutazione previsionale di impatto acustico</w:t>
            </w:r>
            <w:r>
              <w:rPr>
                <w:rFonts w:ascii="Calibri Light" w:hAnsi="Calibri Light" w:cs="Calibri Light"/>
                <w:color w:val="000000" w:themeColor="text1"/>
              </w:rPr>
              <w:t>.</w:t>
            </w:r>
          </w:p>
          <w:p w14:paraId="36D21079" w14:textId="4825A249" w:rsidR="00A26933" w:rsidRDefault="00A26933" w:rsidP="00E30D1F">
            <w:pPr>
              <w:pStyle w:val="Paragrafoelenco"/>
              <w:numPr>
                <w:ilvl w:val="0"/>
                <w:numId w:val="25"/>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14:paraId="521D5777" w14:textId="4421882D" w:rsidR="00A26933" w:rsidRPr="00A26933" w:rsidRDefault="001B5048" w:rsidP="001B5048">
            <w:pPr>
              <w:jc w:val="both"/>
              <w:rPr>
                <w:rFonts w:ascii="Calibri Light" w:hAnsi="Calibri Light" w:cs="Calibri Light"/>
                <w:color w:val="000000" w:themeColor="text1"/>
              </w:rPr>
            </w:pPr>
            <w:r w:rsidRPr="001B5048">
              <w:rPr>
                <w:rFonts w:ascii="Calibri Light" w:hAnsi="Calibri Light" w:cs="Calibri Light"/>
                <w:color w:val="000000" w:themeColor="text1"/>
              </w:rPr>
              <w:t>Valutazione di conformità al Descrittore 1 dell’Allegato I della Direttiva</w:t>
            </w:r>
            <w:r>
              <w:rPr>
                <w:rFonts w:ascii="Calibri Light" w:hAnsi="Calibri Light" w:cs="Calibri Light"/>
                <w:color w:val="000000" w:themeColor="text1"/>
              </w:rPr>
              <w:t xml:space="preserve"> </w:t>
            </w:r>
            <w:r w:rsidRPr="001B5048">
              <w:rPr>
                <w:rFonts w:ascii="Calibri Light" w:hAnsi="Calibri Light" w:cs="Calibri Light"/>
                <w:color w:val="000000" w:themeColor="text1"/>
              </w:rPr>
              <w:t>2008/56/CE in conformità ai criteri e alle norme metodologiche pertinenti per</w:t>
            </w:r>
            <w:r>
              <w:rPr>
                <w:rFonts w:ascii="Calibri Light" w:hAnsi="Calibri Light" w:cs="Calibri Light"/>
                <w:color w:val="000000" w:themeColor="text1"/>
              </w:rPr>
              <w:t xml:space="preserve"> </w:t>
            </w:r>
            <w:r w:rsidRPr="001B5048">
              <w:rPr>
                <w:rFonts w:ascii="Calibri Light" w:hAnsi="Calibri Light" w:cs="Calibri Light"/>
                <w:color w:val="000000" w:themeColor="text1"/>
              </w:rPr>
              <w:t>tale descrittore della Decisione (</w:t>
            </w:r>
            <w:r>
              <w:rPr>
                <w:rFonts w:ascii="Calibri Light" w:hAnsi="Calibri Light" w:cs="Calibri Light"/>
                <w:color w:val="000000" w:themeColor="text1"/>
              </w:rPr>
              <w:t>UE)</w:t>
            </w:r>
            <w:r w:rsidRPr="001B5048">
              <w:rPr>
                <w:rFonts w:ascii="Calibri Light" w:hAnsi="Calibri Light" w:cs="Calibri Light"/>
                <w:color w:val="000000" w:themeColor="text1"/>
              </w:rPr>
              <w:t xml:space="preserve"> 2017/848</w:t>
            </w:r>
            <w:r>
              <w:rPr>
                <w:rFonts w:ascii="Calibri Light" w:hAnsi="Calibri Light" w:cs="Calibri Light"/>
                <w:color w:val="000000" w:themeColor="text1"/>
              </w:rPr>
              <w:t xml:space="preserve">. </w:t>
            </w:r>
            <w:r w:rsidRPr="001B5048">
              <w:rPr>
                <w:rFonts w:ascii="Calibri Light" w:hAnsi="Calibri Light" w:cs="Calibri Light"/>
                <w:color w:val="000000" w:themeColor="text1"/>
              </w:rPr>
              <w:t>Per i siti/le operazioni situati in aree sensibili sotto il profilo della biodiversità</w:t>
            </w:r>
            <w:r>
              <w:rPr>
                <w:rFonts w:ascii="Calibri Light" w:hAnsi="Calibri Light" w:cs="Calibri Light"/>
                <w:color w:val="000000" w:themeColor="text1"/>
              </w:rPr>
              <w:t xml:space="preserve"> </w:t>
            </w:r>
            <w:r w:rsidRPr="001B5048">
              <w:rPr>
                <w:rFonts w:ascii="Calibri Light" w:hAnsi="Calibri Light" w:cs="Calibri Light"/>
                <w:color w:val="000000" w:themeColor="text1"/>
              </w:rPr>
              <w:t>o in prossimità di esse (compresi la rete Natura 2000 di aree protette, i siti del</w:t>
            </w:r>
            <w:r>
              <w:rPr>
                <w:rFonts w:ascii="Calibri Light" w:hAnsi="Calibri Light" w:cs="Calibri Light"/>
                <w:color w:val="000000" w:themeColor="text1"/>
              </w:rPr>
              <w:t xml:space="preserve"> </w:t>
            </w:r>
            <w:r w:rsidRPr="001B5048">
              <w:rPr>
                <w:rFonts w:ascii="Calibri Light" w:hAnsi="Calibri Light" w:cs="Calibri Light"/>
                <w:color w:val="000000" w:themeColor="text1"/>
              </w:rPr>
              <w:t>patrimonio mondiale dell'UNESCO e le principali aree di biodiversità, nonché</w:t>
            </w:r>
            <w:r>
              <w:rPr>
                <w:rFonts w:ascii="Calibri Light" w:hAnsi="Calibri Light" w:cs="Calibri Light"/>
                <w:color w:val="000000" w:themeColor="text1"/>
              </w:rPr>
              <w:t xml:space="preserve"> </w:t>
            </w:r>
            <w:r w:rsidRPr="001B5048">
              <w:rPr>
                <w:rFonts w:ascii="Calibri Light" w:hAnsi="Calibri Light" w:cs="Calibri Light"/>
                <w:color w:val="000000" w:themeColor="text1"/>
              </w:rPr>
              <w:t>altre aree protette) è stata condotta, ove applicabile, un'opportuna valutazione</w:t>
            </w:r>
            <w:r>
              <w:rPr>
                <w:rFonts w:ascii="Calibri Light" w:hAnsi="Calibri Light" w:cs="Calibri Light"/>
                <w:color w:val="000000" w:themeColor="text1"/>
              </w:rPr>
              <w:t xml:space="preserve"> </w:t>
            </w:r>
            <w:r w:rsidRPr="001B5048">
              <w:rPr>
                <w:rFonts w:ascii="Calibri Light" w:hAnsi="Calibri Light" w:cs="Calibri Light"/>
                <w:color w:val="000000" w:themeColor="text1"/>
              </w:rPr>
              <w:t>e, sulla base delle relative conclusioni, sono attuate le necessarie misure di</w:t>
            </w:r>
            <w:r>
              <w:rPr>
                <w:rFonts w:ascii="Calibri Light" w:hAnsi="Calibri Light" w:cs="Calibri Light"/>
                <w:color w:val="000000" w:themeColor="text1"/>
              </w:rPr>
              <w:t xml:space="preserve"> </w:t>
            </w:r>
            <w:r w:rsidRPr="001B5048">
              <w:rPr>
                <w:rFonts w:ascii="Calibri Light" w:hAnsi="Calibri Light" w:cs="Calibri Light"/>
                <w:color w:val="000000" w:themeColor="text1"/>
              </w:rPr>
              <w:t xml:space="preserve">mitigazione quale ad </w:t>
            </w:r>
            <w:proofErr w:type="spellStart"/>
            <w:r w:rsidRPr="001B5048">
              <w:rPr>
                <w:rFonts w:ascii="Calibri Light" w:hAnsi="Calibri Light" w:cs="Calibri Light"/>
                <w:color w:val="000000" w:themeColor="text1"/>
              </w:rPr>
              <w:t>es</w:t>
            </w:r>
            <w:proofErr w:type="spellEnd"/>
            <w:r w:rsidRPr="001B5048">
              <w:rPr>
                <w:rFonts w:ascii="Calibri Light" w:hAnsi="Calibri Light" w:cs="Calibri Light"/>
                <w:color w:val="000000" w:themeColor="text1"/>
              </w:rPr>
              <w:t xml:space="preserve"> la </w:t>
            </w:r>
            <w:proofErr w:type="spellStart"/>
            <w:r w:rsidRPr="001B5048">
              <w:rPr>
                <w:rFonts w:ascii="Calibri Light" w:hAnsi="Calibri Light" w:cs="Calibri Light"/>
                <w:color w:val="000000" w:themeColor="text1"/>
              </w:rPr>
              <w:t>VinCA</w:t>
            </w:r>
            <w:proofErr w:type="spellEnd"/>
            <w:r>
              <w:rPr>
                <w:rFonts w:ascii="Calibri Light" w:hAnsi="Calibri Light" w:cs="Calibri Light"/>
                <w:color w:val="000000" w:themeColor="text1"/>
              </w:rPr>
              <w:t>.</w:t>
            </w:r>
          </w:p>
        </w:tc>
      </w:tr>
      <w:bookmarkEnd w:id="1"/>
    </w:tbl>
    <w:p w14:paraId="4E0491DB" w14:textId="77777777" w:rsidR="002129E4" w:rsidRPr="008A6A44" w:rsidRDefault="002129E4" w:rsidP="002129E4">
      <w:pPr>
        <w:ind w:right="418"/>
        <w:jc w:val="both"/>
        <w:rPr>
          <w:rFonts w:ascii="Calibri Light" w:hAnsi="Calibri Light" w:cs="Calibri Light"/>
          <w:color w:val="000000" w:themeColor="text1"/>
        </w:rPr>
      </w:pPr>
    </w:p>
    <w:p w14:paraId="2AFBDDD4" w14:textId="4EC83415" w:rsidR="002129E4"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 xml:space="preserve">Elementi di verifica ex </w:t>
      </w:r>
      <w:r>
        <w:rPr>
          <w:rFonts w:ascii="Calibri Light" w:hAnsi="Calibri Light" w:cs="Calibri Light"/>
          <w:color w:val="000000" w:themeColor="text1"/>
        </w:rPr>
        <w:t>post</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29CE5298" w14:textId="77777777" w:rsidTr="00604925">
        <w:trPr>
          <w:trHeight w:val="4698"/>
        </w:trPr>
        <w:tc>
          <w:tcPr>
            <w:tcW w:w="10790" w:type="dxa"/>
          </w:tcPr>
          <w:p w14:paraId="26E95CCB" w14:textId="77777777" w:rsidR="00604925" w:rsidRDefault="00604925" w:rsidP="00604925">
            <w:pPr>
              <w:pStyle w:val="Paragrafoelenco"/>
              <w:numPr>
                <w:ilvl w:val="0"/>
                <w:numId w:val="26"/>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Mitigazione del cambiamento climatico</w:t>
            </w:r>
            <w:r>
              <w:rPr>
                <w:rFonts w:ascii="Calibri Light" w:hAnsi="Calibri Light" w:cs="Calibri Light"/>
                <w:b/>
                <w:bCs/>
                <w:color w:val="000000" w:themeColor="text1"/>
                <w:u w:val="single"/>
              </w:rPr>
              <w:t>.</w:t>
            </w:r>
          </w:p>
          <w:p w14:paraId="21C4E1D2" w14:textId="73528705" w:rsidR="001C5EE8" w:rsidRPr="001C5EE8" w:rsidRDefault="0062066F" w:rsidP="0062066F">
            <w:pPr>
              <w:jc w:val="both"/>
              <w:rPr>
                <w:rFonts w:ascii="Calibri Light" w:hAnsi="Calibri Light" w:cs="Calibri Light"/>
                <w:color w:val="000000" w:themeColor="text1"/>
              </w:rPr>
            </w:pPr>
            <w:r w:rsidRPr="0062066F">
              <w:rPr>
                <w:rFonts w:ascii="Calibri Light" w:hAnsi="Calibri Light" w:cs="Calibri Light"/>
                <w:color w:val="000000" w:themeColor="text1"/>
              </w:rPr>
              <w:t>Diagnosi energetica che evidenzi i gCO2e emessa per m 3 di acqua dolce</w:t>
            </w:r>
            <w:r>
              <w:rPr>
                <w:rFonts w:ascii="Calibri Light" w:hAnsi="Calibri Light" w:cs="Calibri Light"/>
                <w:color w:val="000000" w:themeColor="text1"/>
              </w:rPr>
              <w:t xml:space="preserve"> </w:t>
            </w:r>
            <w:r w:rsidRPr="0062066F">
              <w:rPr>
                <w:rFonts w:ascii="Calibri Light" w:hAnsi="Calibri Light" w:cs="Calibri Light"/>
                <w:color w:val="000000" w:themeColor="text1"/>
              </w:rPr>
              <w:t>prodotta</w:t>
            </w:r>
            <w:r>
              <w:rPr>
                <w:rFonts w:ascii="Calibri Light" w:hAnsi="Calibri Light" w:cs="Calibri Light"/>
                <w:color w:val="000000" w:themeColor="text1"/>
              </w:rPr>
              <w:t>;</w:t>
            </w:r>
          </w:p>
          <w:p w14:paraId="6C231F7C" w14:textId="401FE173" w:rsidR="00604925" w:rsidRDefault="00604925" w:rsidP="001C5EE8">
            <w:pPr>
              <w:pStyle w:val="Paragrafoelenco"/>
              <w:numPr>
                <w:ilvl w:val="0"/>
                <w:numId w:val="26"/>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Adattamento ai cambiamenti climatici</w:t>
            </w:r>
          </w:p>
          <w:p w14:paraId="0244E0A5" w14:textId="77777777" w:rsidR="0054776E" w:rsidRDefault="0054776E" w:rsidP="0054776E">
            <w:pPr>
              <w:jc w:val="both"/>
              <w:rPr>
                <w:rFonts w:ascii="Calibri Light" w:hAnsi="Calibri Light" w:cs="Calibri Light"/>
                <w:b/>
                <w:bCs/>
                <w:color w:val="000000" w:themeColor="text1"/>
                <w:u w:val="single"/>
              </w:rPr>
            </w:pPr>
            <w:r w:rsidRPr="0054776E">
              <w:rPr>
                <w:rFonts w:ascii="Calibri Light" w:hAnsi="Calibri Light" w:cs="Calibri Light"/>
                <w:color w:val="000000" w:themeColor="text1"/>
              </w:rPr>
              <w:t>Verifica adozione delle soluzioni di adattabilità definite a seguito della</w:t>
            </w:r>
            <w:r>
              <w:rPr>
                <w:rFonts w:ascii="Calibri Light" w:hAnsi="Calibri Light" w:cs="Calibri Light"/>
                <w:color w:val="000000" w:themeColor="text1"/>
              </w:rPr>
              <w:t xml:space="preserve"> </w:t>
            </w:r>
            <w:r w:rsidRPr="0054776E">
              <w:rPr>
                <w:rFonts w:ascii="Calibri Light" w:hAnsi="Calibri Light" w:cs="Calibri Light"/>
                <w:color w:val="000000" w:themeColor="text1"/>
              </w:rPr>
              <w:t>analisi dell’adattabilità realizzata.</w:t>
            </w:r>
            <w:r w:rsidRPr="0054776E">
              <w:rPr>
                <w:rFonts w:ascii="Calibri Light" w:hAnsi="Calibri Light" w:cs="Calibri Light"/>
                <w:b/>
                <w:bCs/>
                <w:color w:val="000000" w:themeColor="text1"/>
                <w:u w:val="single"/>
              </w:rPr>
              <w:t xml:space="preserve"> </w:t>
            </w:r>
          </w:p>
          <w:p w14:paraId="5C120DA0" w14:textId="77777777" w:rsidR="0054776E" w:rsidRDefault="0054776E" w:rsidP="0054776E">
            <w:pPr>
              <w:pStyle w:val="Paragrafoelenco"/>
              <w:numPr>
                <w:ilvl w:val="0"/>
                <w:numId w:val="26"/>
              </w:numPr>
              <w:ind w:left="0" w:firstLine="0"/>
              <w:jc w:val="both"/>
              <w:rPr>
                <w:rFonts w:ascii="Calibri Light" w:hAnsi="Calibri Light" w:cs="Calibri Light"/>
                <w:b/>
                <w:bCs/>
                <w:color w:val="000000" w:themeColor="text1"/>
                <w:u w:val="single"/>
              </w:rPr>
            </w:pPr>
            <w:r w:rsidRPr="0054776E">
              <w:rPr>
                <w:rFonts w:ascii="Calibri Light" w:hAnsi="Calibri Light" w:cs="Calibri Light"/>
                <w:b/>
                <w:bCs/>
                <w:color w:val="000000" w:themeColor="text1"/>
                <w:u w:val="single"/>
              </w:rPr>
              <w:t xml:space="preserve">Uso sostenibile e protezione delle acque e delle risorse marine </w:t>
            </w:r>
          </w:p>
          <w:p w14:paraId="31B5141A" w14:textId="77777777" w:rsidR="0062066F" w:rsidRDefault="0062066F" w:rsidP="0062066F">
            <w:pPr>
              <w:jc w:val="both"/>
              <w:rPr>
                <w:rFonts w:ascii="Calibri Light" w:hAnsi="Calibri Light" w:cs="Calibri Light"/>
                <w:b/>
                <w:bCs/>
                <w:color w:val="000000" w:themeColor="text1"/>
                <w:u w:val="single"/>
              </w:rPr>
            </w:pPr>
            <w:r w:rsidRPr="0062066F">
              <w:rPr>
                <w:rFonts w:ascii="Calibri Light" w:hAnsi="Calibri Light" w:cs="Calibri Light"/>
                <w:color w:val="000000" w:themeColor="text1"/>
              </w:rPr>
              <w:t>Attua zione delle misure per monitorare e minimizzare le perdite di acqua</w:t>
            </w:r>
            <w:r>
              <w:rPr>
                <w:rFonts w:ascii="Calibri Light" w:hAnsi="Calibri Light" w:cs="Calibri Light"/>
                <w:color w:val="000000" w:themeColor="text1"/>
              </w:rPr>
              <w:t xml:space="preserve"> </w:t>
            </w:r>
            <w:r w:rsidRPr="0062066F">
              <w:rPr>
                <w:rFonts w:ascii="Calibri Light" w:hAnsi="Calibri Light" w:cs="Calibri Light"/>
                <w:color w:val="000000" w:themeColor="text1"/>
              </w:rPr>
              <w:t>potabilizzata di rete dal dissalatore alle utenze.</w:t>
            </w:r>
            <w:r w:rsidRPr="0062066F">
              <w:rPr>
                <w:rFonts w:ascii="Calibri Light" w:hAnsi="Calibri Light" w:cs="Calibri Light"/>
                <w:b/>
                <w:bCs/>
                <w:color w:val="000000" w:themeColor="text1"/>
                <w:u w:val="single"/>
              </w:rPr>
              <w:t xml:space="preserve"> </w:t>
            </w:r>
          </w:p>
          <w:p w14:paraId="5039A459" w14:textId="17B9105A" w:rsidR="00E30D1F" w:rsidRPr="00E30D1F" w:rsidRDefault="00E30D1F" w:rsidP="001B5048">
            <w:pPr>
              <w:pStyle w:val="Paragrafoelenco"/>
              <w:numPr>
                <w:ilvl w:val="0"/>
                <w:numId w:val="26"/>
              </w:numPr>
              <w:ind w:left="0" w:firstLine="0"/>
              <w:jc w:val="both"/>
              <w:rPr>
                <w:rFonts w:ascii="Calibri Light" w:hAnsi="Calibri Light" w:cs="Calibri Light"/>
                <w:b/>
                <w:bCs/>
                <w:color w:val="000000" w:themeColor="text1"/>
                <w:u w:val="single"/>
              </w:rPr>
            </w:pPr>
            <w:r w:rsidRPr="00E30D1F">
              <w:rPr>
                <w:rFonts w:ascii="Calibri Light" w:hAnsi="Calibri Light" w:cs="Calibri Light"/>
                <w:b/>
                <w:bCs/>
                <w:color w:val="000000" w:themeColor="text1"/>
                <w:u w:val="single"/>
              </w:rPr>
              <w:t>Economia circolare</w:t>
            </w:r>
          </w:p>
          <w:p w14:paraId="30949929" w14:textId="4254C91D" w:rsidR="00E30D1F" w:rsidRDefault="00E30D1F" w:rsidP="00E30D1F">
            <w:pPr>
              <w:jc w:val="both"/>
              <w:rPr>
                <w:rFonts w:ascii="Calibri Light" w:hAnsi="Calibri Light" w:cs="Calibri Light"/>
                <w:color w:val="000000" w:themeColor="text1"/>
              </w:rPr>
            </w:pPr>
            <w:r w:rsidRPr="00E30D1F">
              <w:rPr>
                <w:rFonts w:ascii="Calibri Light" w:hAnsi="Calibri Light" w:cs="Calibri Light"/>
                <w:color w:val="000000" w:themeColor="text1"/>
              </w:rPr>
              <w:t>Relazione finale con l’indicazione dei rifiuti prodotti, da cui emerga la destinazione ad una operazione “R”.</w:t>
            </w:r>
          </w:p>
          <w:p w14:paraId="0B8D2D18" w14:textId="77777777" w:rsidR="001B5048" w:rsidRPr="00E30D1F" w:rsidRDefault="001B5048" w:rsidP="001B5048">
            <w:pPr>
              <w:pStyle w:val="Paragrafoelenco"/>
              <w:numPr>
                <w:ilvl w:val="0"/>
                <w:numId w:val="26"/>
              </w:numPr>
              <w:ind w:left="0" w:firstLine="0"/>
              <w:jc w:val="both"/>
              <w:rPr>
                <w:rFonts w:ascii="Calibri Light" w:hAnsi="Calibri Light" w:cs="Calibri Light"/>
                <w:color w:val="000000" w:themeColor="text1"/>
              </w:rPr>
            </w:pPr>
            <w:r>
              <w:rPr>
                <w:rFonts w:ascii="Calibri Light" w:hAnsi="Calibri Light" w:cs="Calibri Light"/>
                <w:b/>
                <w:bCs/>
                <w:color w:val="000000" w:themeColor="text1"/>
                <w:u w:val="single"/>
              </w:rPr>
              <w:t>Prevenzione e riduzione dell’inquinamento</w:t>
            </w:r>
          </w:p>
          <w:p w14:paraId="53D56ABB" w14:textId="31DFD072" w:rsidR="001B5048" w:rsidRDefault="001B5048" w:rsidP="001B5048">
            <w:pPr>
              <w:jc w:val="both"/>
              <w:rPr>
                <w:rFonts w:ascii="Calibri Light" w:hAnsi="Calibri Light" w:cs="Calibri Light"/>
                <w:color w:val="000000" w:themeColor="text1"/>
              </w:rPr>
            </w:pPr>
            <w:r w:rsidRPr="001B5048">
              <w:rPr>
                <w:rFonts w:ascii="Calibri Light" w:hAnsi="Calibri Light" w:cs="Calibri Light"/>
                <w:color w:val="000000" w:themeColor="text1"/>
              </w:rPr>
              <w:t>Verifica del rispetto delle prescrizioni autorizzative, compresi i limiti degli</w:t>
            </w:r>
            <w:r>
              <w:rPr>
                <w:rFonts w:ascii="Calibri Light" w:hAnsi="Calibri Light" w:cs="Calibri Light"/>
                <w:color w:val="000000" w:themeColor="text1"/>
              </w:rPr>
              <w:t xml:space="preserve"> </w:t>
            </w:r>
            <w:r w:rsidRPr="001B5048">
              <w:rPr>
                <w:rFonts w:ascii="Calibri Light" w:hAnsi="Calibri Light" w:cs="Calibri Light"/>
                <w:color w:val="000000" w:themeColor="text1"/>
              </w:rPr>
              <w:t>scarichi</w:t>
            </w:r>
          </w:p>
          <w:p w14:paraId="510D15D0" w14:textId="73C429C1" w:rsidR="00D85CEE" w:rsidRDefault="00D85CEE" w:rsidP="00E30D1F">
            <w:pPr>
              <w:pStyle w:val="Paragrafoelenco"/>
              <w:numPr>
                <w:ilvl w:val="0"/>
                <w:numId w:val="26"/>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14:paraId="12E301F2" w14:textId="0DCD6071" w:rsidR="00D85CEE" w:rsidRPr="00604925" w:rsidRDefault="001B5048" w:rsidP="001B5048">
            <w:pPr>
              <w:jc w:val="both"/>
              <w:rPr>
                <w:rFonts w:ascii="Calibri Light" w:hAnsi="Calibri Light" w:cs="Calibri Light"/>
                <w:color w:val="000000" w:themeColor="text1"/>
              </w:rPr>
            </w:pPr>
            <w:r w:rsidRPr="001B5048">
              <w:rPr>
                <w:rFonts w:ascii="Calibri Light" w:hAnsi="Calibri Light" w:cs="Calibri Light"/>
                <w:color w:val="000000" w:themeColor="text1"/>
              </w:rPr>
              <w:t>Attuazione di tutte le necessarie misure di mitigazione e di compensazione per</w:t>
            </w:r>
            <w:r>
              <w:rPr>
                <w:rFonts w:ascii="Calibri Light" w:hAnsi="Calibri Light" w:cs="Calibri Light"/>
                <w:color w:val="000000" w:themeColor="text1"/>
              </w:rPr>
              <w:t xml:space="preserve"> </w:t>
            </w:r>
            <w:r w:rsidRPr="001B5048">
              <w:rPr>
                <w:rFonts w:ascii="Calibri Light" w:hAnsi="Calibri Light" w:cs="Calibri Light"/>
                <w:color w:val="000000" w:themeColor="text1"/>
              </w:rPr>
              <w:t>la protezione della biodiversità e degli habitat</w:t>
            </w:r>
          </w:p>
        </w:tc>
      </w:tr>
    </w:tbl>
    <w:p w14:paraId="2BD52FDB" w14:textId="6B43551A" w:rsidR="002129E4" w:rsidRPr="00604925" w:rsidRDefault="002129E4" w:rsidP="00604925">
      <w:pPr>
        <w:ind w:right="418"/>
        <w:jc w:val="both"/>
        <w:rPr>
          <w:rFonts w:ascii="Calibri Light" w:hAnsi="Calibri Light" w:cs="Calibri Light"/>
          <w:color w:val="000000" w:themeColor="text1"/>
        </w:rPr>
      </w:pPr>
    </w:p>
    <w:p w14:paraId="2C99BB41" w14:textId="77777777" w:rsidR="002129E4" w:rsidRPr="009E4103" w:rsidRDefault="002129E4" w:rsidP="002129E4">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14:paraId="29FE32BC" w14:textId="08774A3E" w:rsidR="008A6A44" w:rsidRDefault="008A6A44" w:rsidP="008A6A44">
      <w:pPr>
        <w:ind w:left="420" w:right="418"/>
        <w:jc w:val="both"/>
        <w:rPr>
          <w:rFonts w:ascii="Calibri Light" w:hAnsi="Calibri Light" w:cs="Calibri Light"/>
          <w:color w:val="000000" w:themeColor="text1"/>
        </w:rPr>
      </w:pPr>
      <w:r>
        <w:rPr>
          <w:rFonts w:ascii="Calibri Light" w:hAnsi="Calibri Light" w:cs="Calibri Light"/>
          <w:color w:val="000000" w:themeColor="text1"/>
        </w:rPr>
        <w:t>Pertanto, a</w:t>
      </w:r>
      <w:r w:rsidRPr="00A379AC">
        <w:rPr>
          <w:rFonts w:ascii="Calibri Light" w:hAnsi="Calibri Light" w:cs="Calibri Light"/>
          <w:color w:val="000000" w:themeColor="text1"/>
        </w:rPr>
        <w:t xml:space="preserve">lla luce di tale valutazione, </w:t>
      </w:r>
      <w:r w:rsidRPr="00450FA0">
        <w:rPr>
          <w:rFonts w:ascii="Calibri Light" w:hAnsi="Calibri Light" w:cs="Calibri Light"/>
          <w:color w:val="000000" w:themeColor="text1"/>
        </w:rPr>
        <w:t>è dichiarato</w:t>
      </w:r>
      <w:r>
        <w:rPr>
          <w:rFonts w:ascii="Calibri Light" w:hAnsi="Calibri Light" w:cs="Calibri Light"/>
          <w:color w:val="000000" w:themeColor="text1"/>
        </w:rPr>
        <w:t xml:space="preserve"> </w:t>
      </w:r>
      <w:r w:rsidRPr="008A6A44">
        <w:rPr>
          <w:rFonts w:ascii="Calibri Light" w:hAnsi="Calibri Light" w:cs="Calibri Light"/>
          <w:color w:val="000000" w:themeColor="text1"/>
        </w:rPr>
        <w:t>che le attività previste nell’ambito dell’operazione da ammettere a finanziamento saranno realizzate nel rispetto dei vincoli DNSH individuati nelle schede tecniche selezionate</w:t>
      </w:r>
      <w:r>
        <w:rPr>
          <w:rStyle w:val="Rimandonotaapidipagina"/>
          <w:rFonts w:ascii="Calibri Light" w:hAnsi="Calibri Light" w:cs="Calibri Light"/>
          <w:color w:val="000000" w:themeColor="text1"/>
        </w:rPr>
        <w:footnoteReference w:id="3"/>
      </w:r>
      <w:r>
        <w:rPr>
          <w:rFonts w:ascii="Calibri Light" w:hAnsi="Calibri Light" w:cs="Calibri Light"/>
          <w:color w:val="000000" w:themeColor="text1"/>
        </w:rPr>
        <w:t xml:space="preserve"> e nel rispetto delle prescrizioni e raccomandazioni sopra riportate. </w:t>
      </w:r>
    </w:p>
    <w:p w14:paraId="66C22ECA" w14:textId="6858994E" w:rsidR="00EB1EA5" w:rsidRPr="009E4103" w:rsidRDefault="00EB1EA5" w:rsidP="000A004C">
      <w:pPr>
        <w:ind w:left="420" w:right="418"/>
        <w:jc w:val="both"/>
        <w:rPr>
          <w:rFonts w:ascii="Calibri Light" w:hAnsi="Calibri Light" w:cs="Calibri Light"/>
        </w:rPr>
      </w:pPr>
      <w:r w:rsidRPr="009E4103">
        <w:rPr>
          <w:rFonts w:ascii="Calibri Light" w:hAnsi="Calibri Light" w:cs="Calibri Light"/>
        </w:rPr>
        <w:t xml:space="preserve"> </w:t>
      </w:r>
    </w:p>
    <w:p w14:paraId="17BD4A06" w14:textId="0E05CD2F" w:rsidR="00D32794" w:rsidRPr="0088149D" w:rsidRDefault="000F3C52" w:rsidP="0088149D">
      <w:pPr>
        <w:pStyle w:val="Paragrafoelenco"/>
        <w:tabs>
          <w:tab w:val="left" w:pos="840"/>
        </w:tabs>
        <w:spacing w:before="178"/>
        <w:ind w:left="643" w:right="113"/>
        <w:jc w:val="both"/>
        <w:rPr>
          <w:rFonts w:ascii="Calibri Light" w:hAnsi="Calibri Light" w:cs="Calibri Light"/>
          <w:i/>
          <w:color w:val="000000" w:themeColor="text1"/>
        </w:rPr>
      </w:pPr>
      <w:r w:rsidRPr="009E4103">
        <w:rPr>
          <w:rFonts w:ascii="Calibri Light" w:hAnsi="Calibri Light" w:cs="Calibri Light"/>
        </w:rPr>
        <w:t>Data ................................................</w:t>
      </w:r>
      <w:r w:rsidR="004278BE" w:rsidRPr="009E4103">
        <w:rPr>
          <w:rFonts w:ascii="Calibri Light" w:hAnsi="Calibri Light" w:cs="Calibri Light"/>
        </w:rPr>
        <w:t xml:space="preserve">                               </w:t>
      </w:r>
      <w:r w:rsidRPr="009E4103">
        <w:rPr>
          <w:rFonts w:ascii="Calibri Light" w:hAnsi="Calibri Light" w:cs="Calibri Light"/>
        </w:rPr>
        <w:t xml:space="preserve"> </w:t>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AF2DD0" w:rsidRPr="00A379AC">
        <w:rPr>
          <w:rFonts w:ascii="Calibri Light" w:hAnsi="Calibri Light" w:cs="Calibri Light"/>
          <w:color w:val="000000" w:themeColor="text1"/>
        </w:rPr>
        <w:t>l’UCO [firmato digitalmente]</w:t>
      </w:r>
    </w:p>
    <w:sectPr w:rsidR="00D32794" w:rsidRPr="0088149D" w:rsidSect="00031522">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5F14C" w14:textId="77777777" w:rsidR="00F60C07" w:rsidRDefault="00F60C07">
      <w:r>
        <w:separator/>
      </w:r>
    </w:p>
  </w:endnote>
  <w:endnote w:type="continuationSeparator" w:id="0">
    <w:p w14:paraId="07487492" w14:textId="77777777" w:rsidR="00F60C07" w:rsidRDefault="00F60C07">
      <w:r>
        <w:continuationSeparator/>
      </w:r>
    </w:p>
  </w:endnote>
  <w:endnote w:type="continuationNotice" w:id="1">
    <w:p w14:paraId="59241DA7" w14:textId="77777777" w:rsidR="00F60C07" w:rsidRDefault="00F60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00027EBB" w:rsidRDefault="00027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1E312" w14:textId="77777777" w:rsidR="00F60C07" w:rsidRDefault="00F60C07">
      <w:r>
        <w:separator/>
      </w:r>
    </w:p>
  </w:footnote>
  <w:footnote w:type="continuationSeparator" w:id="0">
    <w:p w14:paraId="6D4FEE2C" w14:textId="77777777" w:rsidR="00F60C07" w:rsidRDefault="00F60C07">
      <w:r>
        <w:continuationSeparator/>
      </w:r>
    </w:p>
  </w:footnote>
  <w:footnote w:type="continuationNotice" w:id="1">
    <w:p w14:paraId="427F1615" w14:textId="77777777" w:rsidR="00F60C07" w:rsidRDefault="00F60C07"/>
  </w:footnote>
  <w:footnote w:id="2">
    <w:p w14:paraId="1DC64AD3" w14:textId="4423AB10" w:rsidR="0092692F" w:rsidRPr="0092692F" w:rsidRDefault="0092692F" w:rsidP="0092692F">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 xml:space="preserve">auto valutazione coerenti sulla base dei sei obiettivi ambientali di cui all’art. 17 del regolamento UE n. 2020/852, della coerenza con il quadro normativo programmatico vigente e del rispetto delle Best </w:t>
      </w:r>
      <w:proofErr w:type="spellStart"/>
      <w:r w:rsidRPr="0092692F">
        <w:rPr>
          <w:rFonts w:ascii="Calibri Light" w:hAnsi="Calibri Light" w:cs="Calibri Light"/>
          <w:i/>
          <w:iCs/>
          <w:sz w:val="16"/>
          <w:szCs w:val="16"/>
        </w:rPr>
        <w:t>Available</w:t>
      </w:r>
      <w:proofErr w:type="spellEnd"/>
      <w:r w:rsidRPr="0092692F">
        <w:rPr>
          <w:rFonts w:ascii="Calibri Light" w:hAnsi="Calibri Light" w:cs="Calibri Light"/>
          <w:i/>
          <w:iCs/>
          <w:sz w:val="16"/>
          <w:szCs w:val="16"/>
        </w:rPr>
        <w:t xml:space="preserve"> Techniques (BAT), ossia di quelle condizioni, da adottare nel corso di un ciclo di produzione, che sono idonee ad assicurare la più alta protezione ambientale a costi ragionevoli</w:t>
      </w:r>
      <w:r w:rsidR="00871D21">
        <w:rPr>
          <w:rFonts w:ascii="Calibri Light" w:hAnsi="Calibri Light" w:cs="Calibri Light"/>
          <w:i/>
          <w:iCs/>
          <w:sz w:val="16"/>
          <w:szCs w:val="16"/>
        </w:rPr>
        <w:t>.</w:t>
      </w:r>
    </w:p>
  </w:footnote>
  <w:footnote w:id="3">
    <w:p w14:paraId="4BFD8DF1" w14:textId="18A561B4" w:rsidR="008A6A44" w:rsidRPr="008A6A44" w:rsidRDefault="008A6A44">
      <w:pPr>
        <w:pStyle w:val="Testonotaapidipagina"/>
        <w:rPr>
          <w:rFonts w:ascii="Calibri Light" w:hAnsi="Calibri Light" w:cs="Calibri Light"/>
          <w:i/>
          <w:iCs/>
          <w:sz w:val="16"/>
          <w:szCs w:val="16"/>
        </w:rPr>
      </w:pPr>
      <w:r>
        <w:rPr>
          <w:rStyle w:val="Rimandonotaapidipagina"/>
        </w:rPr>
        <w:footnoteRef/>
      </w:r>
      <w:r>
        <w:t xml:space="preserve"> </w:t>
      </w:r>
      <w:proofErr w:type="spellStart"/>
      <w:r w:rsidRPr="008A6A44">
        <w:rPr>
          <w:rFonts w:ascii="Calibri Light" w:hAnsi="Calibri Light" w:cs="Calibri Light"/>
          <w:i/>
          <w:iCs/>
          <w:sz w:val="16"/>
          <w:szCs w:val="16"/>
        </w:rPr>
        <w:t>Cfr</w:t>
      </w:r>
      <w:proofErr w:type="spellEnd"/>
      <w:r w:rsidRPr="008A6A44">
        <w:rPr>
          <w:rFonts w:ascii="Calibri Light" w:hAnsi="Calibri Light" w:cs="Calibri Light"/>
          <w:i/>
          <w:iCs/>
          <w:sz w:val="16"/>
          <w:szCs w:val="16"/>
        </w:rPr>
        <w:t xml:space="preserve">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616"/>
    <w:multiLevelType w:val="hybridMultilevel"/>
    <w:tmpl w:val="580A13A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B847F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7155A7"/>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5"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7"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10" w15:restartNumberingAfterBreak="0">
    <w:nsid w:val="1FC34156"/>
    <w:multiLevelType w:val="hybridMultilevel"/>
    <w:tmpl w:val="AA40D7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A64688"/>
    <w:multiLevelType w:val="hybridMultilevel"/>
    <w:tmpl w:val="8CAC299E"/>
    <w:lvl w:ilvl="0" w:tplc="B60C711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B322EC"/>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0B486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3224D1E"/>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FC235D"/>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A43BB1"/>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485A5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22"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24" w15:restartNumberingAfterBreak="0">
    <w:nsid w:val="50B31F4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26"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7" w15:restartNumberingAfterBreak="0">
    <w:nsid w:val="61BC36E1"/>
    <w:multiLevelType w:val="hybridMultilevel"/>
    <w:tmpl w:val="6D90B322"/>
    <w:lvl w:ilvl="0" w:tplc="C568C94A">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575564"/>
    <w:multiLevelType w:val="hybridMultilevel"/>
    <w:tmpl w:val="580A1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BD20E4"/>
    <w:multiLevelType w:val="hybridMultilevel"/>
    <w:tmpl w:val="1E5E6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C531E1"/>
    <w:multiLevelType w:val="hybridMultilevel"/>
    <w:tmpl w:val="9CB66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E149D9"/>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3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34" w15:restartNumberingAfterBreak="0">
    <w:nsid w:val="7F0A04C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270598296">
    <w:abstractNumId w:val="25"/>
  </w:num>
  <w:num w:numId="2" w16cid:durableId="781530434">
    <w:abstractNumId w:val="35"/>
  </w:num>
  <w:num w:numId="3" w16cid:durableId="1838418839">
    <w:abstractNumId w:val="9"/>
  </w:num>
  <w:num w:numId="4" w16cid:durableId="1675722562">
    <w:abstractNumId w:val="21"/>
  </w:num>
  <w:num w:numId="5" w16cid:durableId="1123109533">
    <w:abstractNumId w:val="32"/>
  </w:num>
  <w:num w:numId="6" w16cid:durableId="164322053">
    <w:abstractNumId w:val="23"/>
  </w:num>
  <w:num w:numId="7" w16cid:durableId="34933000">
    <w:abstractNumId w:val="6"/>
  </w:num>
  <w:num w:numId="8" w16cid:durableId="223152048">
    <w:abstractNumId w:val="26"/>
  </w:num>
  <w:num w:numId="9" w16cid:durableId="66659844">
    <w:abstractNumId w:val="4"/>
  </w:num>
  <w:num w:numId="10" w16cid:durableId="1350369885">
    <w:abstractNumId w:val="33"/>
  </w:num>
  <w:num w:numId="11" w16cid:durableId="614867588">
    <w:abstractNumId w:val="22"/>
  </w:num>
  <w:num w:numId="12" w16cid:durableId="199326021">
    <w:abstractNumId w:val="7"/>
  </w:num>
  <w:num w:numId="13" w16cid:durableId="1987011571">
    <w:abstractNumId w:val="12"/>
  </w:num>
  <w:num w:numId="14" w16cid:durableId="1241721638">
    <w:abstractNumId w:val="22"/>
  </w:num>
  <w:num w:numId="15" w16cid:durableId="1617831926">
    <w:abstractNumId w:val="1"/>
  </w:num>
  <w:num w:numId="16" w16cid:durableId="180437904">
    <w:abstractNumId w:val="8"/>
  </w:num>
  <w:num w:numId="17" w16cid:durableId="1565019180">
    <w:abstractNumId w:val="5"/>
  </w:num>
  <w:num w:numId="18" w16cid:durableId="567151016">
    <w:abstractNumId w:val="5"/>
    <w:lvlOverride w:ilvl="0">
      <w:startOverride w:val="1"/>
    </w:lvlOverride>
  </w:num>
  <w:num w:numId="19" w16cid:durableId="430976031">
    <w:abstractNumId w:val="15"/>
  </w:num>
  <w:num w:numId="20" w16cid:durableId="262690397">
    <w:abstractNumId w:val="20"/>
  </w:num>
  <w:num w:numId="21" w16cid:durableId="2011636415">
    <w:abstractNumId w:val="10"/>
  </w:num>
  <w:num w:numId="22" w16cid:durableId="1995259587">
    <w:abstractNumId w:val="17"/>
  </w:num>
  <w:num w:numId="23" w16cid:durableId="1056392885">
    <w:abstractNumId w:val="29"/>
  </w:num>
  <w:num w:numId="24" w16cid:durableId="1309095468">
    <w:abstractNumId w:val="34"/>
  </w:num>
  <w:num w:numId="25" w16cid:durableId="458572601">
    <w:abstractNumId w:val="11"/>
  </w:num>
  <w:num w:numId="26" w16cid:durableId="480538450">
    <w:abstractNumId w:val="27"/>
  </w:num>
  <w:num w:numId="27" w16cid:durableId="240219256">
    <w:abstractNumId w:val="28"/>
  </w:num>
  <w:num w:numId="28" w16cid:durableId="1956711325">
    <w:abstractNumId w:val="0"/>
  </w:num>
  <w:num w:numId="29" w16cid:durableId="415052988">
    <w:abstractNumId w:val="14"/>
  </w:num>
  <w:num w:numId="30" w16cid:durableId="1177891178">
    <w:abstractNumId w:val="24"/>
  </w:num>
  <w:num w:numId="31" w16cid:durableId="1589386581">
    <w:abstractNumId w:val="19"/>
  </w:num>
  <w:num w:numId="32" w16cid:durableId="552736401">
    <w:abstractNumId w:val="30"/>
  </w:num>
  <w:num w:numId="33" w16cid:durableId="914359572">
    <w:abstractNumId w:val="16"/>
  </w:num>
  <w:num w:numId="34" w16cid:durableId="1388184604">
    <w:abstractNumId w:val="31"/>
  </w:num>
  <w:num w:numId="35" w16cid:durableId="876696692">
    <w:abstractNumId w:val="18"/>
  </w:num>
  <w:num w:numId="36" w16cid:durableId="1726752528">
    <w:abstractNumId w:val="2"/>
  </w:num>
  <w:num w:numId="37" w16cid:durableId="1631665582">
    <w:abstractNumId w:val="13"/>
  </w:num>
  <w:num w:numId="38" w16cid:durableId="1115755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7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16017"/>
    <w:rsid w:val="000176F6"/>
    <w:rsid w:val="00020B40"/>
    <w:rsid w:val="00027EBB"/>
    <w:rsid w:val="00031522"/>
    <w:rsid w:val="000364C5"/>
    <w:rsid w:val="000525BF"/>
    <w:rsid w:val="00052C9F"/>
    <w:rsid w:val="00057481"/>
    <w:rsid w:val="00077EB5"/>
    <w:rsid w:val="0009276B"/>
    <w:rsid w:val="000A004C"/>
    <w:rsid w:val="000A0BE9"/>
    <w:rsid w:val="000B5449"/>
    <w:rsid w:val="000B632A"/>
    <w:rsid w:val="000C00E4"/>
    <w:rsid w:val="000D24BD"/>
    <w:rsid w:val="000D4985"/>
    <w:rsid w:val="000E2061"/>
    <w:rsid w:val="000E5DC6"/>
    <w:rsid w:val="000F3C52"/>
    <w:rsid w:val="000F4A83"/>
    <w:rsid w:val="00131927"/>
    <w:rsid w:val="00135902"/>
    <w:rsid w:val="00177E03"/>
    <w:rsid w:val="001B1C7D"/>
    <w:rsid w:val="001B5048"/>
    <w:rsid w:val="001C49FE"/>
    <w:rsid w:val="001C5EE8"/>
    <w:rsid w:val="001F44E6"/>
    <w:rsid w:val="001F7045"/>
    <w:rsid w:val="0020165F"/>
    <w:rsid w:val="002129E4"/>
    <w:rsid w:val="002A4851"/>
    <w:rsid w:val="002C4EED"/>
    <w:rsid w:val="002C55D9"/>
    <w:rsid w:val="002D6238"/>
    <w:rsid w:val="002F4A7A"/>
    <w:rsid w:val="002F7543"/>
    <w:rsid w:val="003030FF"/>
    <w:rsid w:val="003109EA"/>
    <w:rsid w:val="00313A2E"/>
    <w:rsid w:val="00334C59"/>
    <w:rsid w:val="003564DD"/>
    <w:rsid w:val="00361FBC"/>
    <w:rsid w:val="003B0731"/>
    <w:rsid w:val="003C7BD2"/>
    <w:rsid w:val="00406D94"/>
    <w:rsid w:val="00410964"/>
    <w:rsid w:val="0041107C"/>
    <w:rsid w:val="00422D41"/>
    <w:rsid w:val="004278BE"/>
    <w:rsid w:val="004666C4"/>
    <w:rsid w:val="00470BFF"/>
    <w:rsid w:val="00484820"/>
    <w:rsid w:val="004873B8"/>
    <w:rsid w:val="00490CAB"/>
    <w:rsid w:val="004A3F97"/>
    <w:rsid w:val="004C733B"/>
    <w:rsid w:val="004E10B4"/>
    <w:rsid w:val="0054776E"/>
    <w:rsid w:val="005629F4"/>
    <w:rsid w:val="005646DC"/>
    <w:rsid w:val="00596863"/>
    <w:rsid w:val="005B16D3"/>
    <w:rsid w:val="005C3A80"/>
    <w:rsid w:val="005E467C"/>
    <w:rsid w:val="00601785"/>
    <w:rsid w:val="00604925"/>
    <w:rsid w:val="00605F1E"/>
    <w:rsid w:val="0062066F"/>
    <w:rsid w:val="00656AC1"/>
    <w:rsid w:val="00674B7D"/>
    <w:rsid w:val="00683DE1"/>
    <w:rsid w:val="0069374A"/>
    <w:rsid w:val="00696433"/>
    <w:rsid w:val="006F66E3"/>
    <w:rsid w:val="00715E76"/>
    <w:rsid w:val="00725397"/>
    <w:rsid w:val="007616AE"/>
    <w:rsid w:val="00764F39"/>
    <w:rsid w:val="007C115D"/>
    <w:rsid w:val="007C3D8D"/>
    <w:rsid w:val="007E2A48"/>
    <w:rsid w:val="00807716"/>
    <w:rsid w:val="00835099"/>
    <w:rsid w:val="00841E12"/>
    <w:rsid w:val="008563B4"/>
    <w:rsid w:val="00871D21"/>
    <w:rsid w:val="0088149D"/>
    <w:rsid w:val="008841DB"/>
    <w:rsid w:val="00886253"/>
    <w:rsid w:val="008A6A44"/>
    <w:rsid w:val="008C1E74"/>
    <w:rsid w:val="008F3C2F"/>
    <w:rsid w:val="00905DA9"/>
    <w:rsid w:val="0092692F"/>
    <w:rsid w:val="009421FD"/>
    <w:rsid w:val="009467A6"/>
    <w:rsid w:val="009674A5"/>
    <w:rsid w:val="009A06EC"/>
    <w:rsid w:val="009B6A5B"/>
    <w:rsid w:val="009C06E1"/>
    <w:rsid w:val="009C28E0"/>
    <w:rsid w:val="009D5E71"/>
    <w:rsid w:val="009E4103"/>
    <w:rsid w:val="009E65BD"/>
    <w:rsid w:val="009E720C"/>
    <w:rsid w:val="00A03E2E"/>
    <w:rsid w:val="00A160F0"/>
    <w:rsid w:val="00A26933"/>
    <w:rsid w:val="00A610DF"/>
    <w:rsid w:val="00A70D78"/>
    <w:rsid w:val="00A80AC4"/>
    <w:rsid w:val="00AD060B"/>
    <w:rsid w:val="00AD1162"/>
    <w:rsid w:val="00AF2DD0"/>
    <w:rsid w:val="00B04FD1"/>
    <w:rsid w:val="00B42557"/>
    <w:rsid w:val="00B55C9A"/>
    <w:rsid w:val="00B6784B"/>
    <w:rsid w:val="00B77585"/>
    <w:rsid w:val="00C27A8C"/>
    <w:rsid w:val="00C72CC7"/>
    <w:rsid w:val="00C769B2"/>
    <w:rsid w:val="00C86D26"/>
    <w:rsid w:val="00C9411C"/>
    <w:rsid w:val="00CA274A"/>
    <w:rsid w:val="00CA7729"/>
    <w:rsid w:val="00CE0CC8"/>
    <w:rsid w:val="00D027EC"/>
    <w:rsid w:val="00D21665"/>
    <w:rsid w:val="00D32794"/>
    <w:rsid w:val="00D72BF7"/>
    <w:rsid w:val="00D83C9A"/>
    <w:rsid w:val="00D85CEE"/>
    <w:rsid w:val="00DA1F2C"/>
    <w:rsid w:val="00DA69CB"/>
    <w:rsid w:val="00E1101A"/>
    <w:rsid w:val="00E30D1F"/>
    <w:rsid w:val="00E64E3A"/>
    <w:rsid w:val="00E96BDD"/>
    <w:rsid w:val="00EA61B9"/>
    <w:rsid w:val="00EB1EA5"/>
    <w:rsid w:val="00ED3A34"/>
    <w:rsid w:val="00ED669D"/>
    <w:rsid w:val="00EE56E1"/>
    <w:rsid w:val="00F25EDE"/>
    <w:rsid w:val="00F30CAB"/>
    <w:rsid w:val="00F54FAD"/>
    <w:rsid w:val="00F60C07"/>
    <w:rsid w:val="00F72C8D"/>
    <w:rsid w:val="00F7706F"/>
    <w:rsid w:val="00FA2D3E"/>
    <w:rsid w:val="00FB1D8E"/>
    <w:rsid w:val="1FB3F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BDA6E"/>
  <w15:docId w15:val="{C5C8F70A-EF28-48A2-A68E-60BEDD49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List Paragraph,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027E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D522E-45E4-43E8-85F8-7533326861B7}">
  <ds:schemaRefs>
    <ds:schemaRef ds:uri="http://schemas.openxmlformats.org/officeDocument/2006/bibliography"/>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AE3A268D-3540-4BC3-B930-CE11510F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F2579-43CB-4994-9E3C-76ABB039C910}">
  <ds:schemaRefs>
    <ds:schemaRef ds:uri="http://www.w3.org/XML/1998/namespace"/>
    <ds:schemaRef ds:uri="http://purl.org/dc/elements/1.1/"/>
    <ds:schemaRef ds:uri="http://schemas.microsoft.com/office/2006/metadata/properties"/>
    <ds:schemaRef ds:uri="http://purl.org/dc/dcmitype/"/>
    <ds:schemaRef ds:uri="a7a5704f-0c67-4191-8268-36d556b77d9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76e68c-1c06-40c7-b7cd-6ea8fb6484e5"/>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1792</Words>
  <Characters>10215</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20</cp:revision>
  <dcterms:created xsi:type="dcterms:W3CDTF">2025-02-10T10:37:00Z</dcterms:created>
  <dcterms:modified xsi:type="dcterms:W3CDTF">2025-04-08T23:59:00Z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