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0031C3D" w14:textId="77777777" w:rsidR="000E7E19" w:rsidRDefault="000E7E19"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4644D"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54644D" w:rsidRPr="00672933" w:rsidRDefault="0054644D" w:rsidP="0054644D">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7C48AD56" w:rsidR="0054644D" w:rsidRPr="00672933" w:rsidRDefault="00527ADA" w:rsidP="0054644D">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54644D"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54644D" w:rsidRPr="00672933" w:rsidRDefault="0054644D" w:rsidP="0054644D">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1FAADDD3"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54644D"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54644D" w:rsidRPr="00672933" w:rsidRDefault="0054644D" w:rsidP="0054644D">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A9E01" w:rsidR="0054644D" w:rsidRPr="00672933" w:rsidRDefault="00527ADA" w:rsidP="00527ADA">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0ED5ACCA" w:rsidR="00672933" w:rsidRPr="00672933" w:rsidRDefault="00560536" w:rsidP="00A20F77">
            <w:pPr>
              <w:widowControl/>
              <w:autoSpaceDE/>
              <w:autoSpaceDN/>
              <w:jc w:val="both"/>
              <w:rPr>
                <w:rFonts w:ascii="Calibri Light" w:hAnsi="Calibri Light" w:cs="Calibri Light"/>
                <w:color w:val="000000"/>
                <w:lang w:eastAsia="it-IT"/>
              </w:rPr>
            </w:pPr>
            <w:r w:rsidRPr="00560536">
              <w:rPr>
                <w:rFonts w:ascii="Calibri Light" w:hAnsi="Calibri Light" w:cs="Calibri Light"/>
                <w:color w:val="000000"/>
                <w:lang w:eastAsia="it-IT"/>
              </w:rPr>
              <w:t>129 - Attrezzature sanitarie</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3A2331CF" w:rsidR="00672933" w:rsidRPr="00672933" w:rsidRDefault="00560536" w:rsidP="00560536">
            <w:pPr>
              <w:widowControl/>
              <w:autoSpaceDE/>
              <w:autoSpaceDN/>
              <w:jc w:val="both"/>
              <w:rPr>
                <w:rFonts w:ascii="Calibri Light" w:hAnsi="Calibri Light" w:cs="Calibri Light"/>
                <w:color w:val="000000"/>
                <w:lang w:eastAsia="it-IT"/>
              </w:rPr>
            </w:pPr>
            <w:r w:rsidRPr="00560536">
              <w:rPr>
                <w:rFonts w:ascii="Calibri Light" w:hAnsi="Calibri Light" w:cs="Calibri Light"/>
                <w:color w:val="000000" w:themeColor="text1"/>
                <w:lang w:eastAsia="it-IT"/>
              </w:rPr>
              <w:t>4.5.1 - Favorire la riorganizzazione e qualificazione dei servizi sanitari territoriali e per</w:t>
            </w:r>
            <w:r>
              <w:rPr>
                <w:rFonts w:ascii="Calibri Light" w:hAnsi="Calibri Light" w:cs="Calibri Light"/>
                <w:color w:val="000000" w:themeColor="text1"/>
                <w:lang w:eastAsia="it-IT"/>
              </w:rPr>
              <w:t xml:space="preserve"> </w:t>
            </w:r>
            <w:r w:rsidRPr="00560536">
              <w:rPr>
                <w:rFonts w:ascii="Calibri Light" w:hAnsi="Calibri Light" w:cs="Calibri Light"/>
                <w:color w:val="000000" w:themeColor="text1"/>
                <w:lang w:eastAsia="it-IT"/>
              </w:rPr>
              <w:t xml:space="preserve">il long </w:t>
            </w:r>
            <w:proofErr w:type="spellStart"/>
            <w:r w:rsidRPr="00560536">
              <w:rPr>
                <w:rFonts w:ascii="Calibri Light" w:hAnsi="Calibri Light" w:cs="Calibri Light"/>
                <w:color w:val="000000" w:themeColor="text1"/>
                <w:lang w:eastAsia="it-IT"/>
              </w:rPr>
              <w:t>term</w:t>
            </w:r>
            <w:proofErr w:type="spellEnd"/>
            <w:r w:rsidRPr="00560536">
              <w:rPr>
                <w:rFonts w:ascii="Calibri Light" w:hAnsi="Calibri Light" w:cs="Calibri Light"/>
                <w:color w:val="000000" w:themeColor="text1"/>
                <w:lang w:eastAsia="it-IT"/>
              </w:rPr>
              <w:t xml:space="preserve"> care al fine di ridurre le diseguaglianze nell’accesso e i divari nel territorio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13E988AA" w:rsidR="00672933" w:rsidRPr="00672933" w:rsidRDefault="0054644D" w:rsidP="00672933">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E77DF66" w14:textId="0F2A6755"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7C21FC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2AAF6566" w14:textId="1FD24780"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xml:space="preserve">- il completamento/rafforzamento della rete di strutture territoriali (quali ad </w:t>
            </w:r>
            <w:proofErr w:type="spellStart"/>
            <w:r w:rsidRPr="00527ADA">
              <w:rPr>
                <w:rFonts w:ascii="Calibri Light" w:hAnsi="Calibri Light" w:cs="Calibri Light"/>
                <w:iCs/>
                <w:color w:val="000000"/>
                <w:lang w:eastAsia="it-IT"/>
              </w:rPr>
              <w:t>es</w:t>
            </w:r>
            <w:proofErr w:type="spellEnd"/>
            <w:r w:rsidRPr="00527ADA">
              <w:rPr>
                <w:rFonts w:ascii="Calibri Light" w:hAnsi="Calibri Light" w:cs="Calibri Light"/>
                <w:iCs/>
                <w:color w:val="000000"/>
                <w:lang w:eastAsia="it-IT"/>
              </w:rPr>
              <w:t>.</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5D1C7A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7BE63EF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4B09907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8F9362C"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4A380145" w14:textId="43AE74F0" w:rsidR="00672933" w:rsidRPr="002104B5"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1DFB0917" w:rsidR="00672933" w:rsidRPr="00672933" w:rsidRDefault="00713135"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1916745285"/>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1E65C503" w:rsidR="00672933" w:rsidRPr="00672933" w:rsidRDefault="00713135"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684435565"/>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08AAB877" w:rsidR="00672933" w:rsidRPr="00672933" w:rsidRDefault="00713135" w:rsidP="00672933">
            <w:pPr>
              <w:widowControl/>
              <w:autoSpaceDE/>
              <w:autoSpaceDN/>
              <w:rPr>
                <w:rFonts w:ascii="Calibri Light" w:hAnsi="Calibri Light" w:cs="Calibri Light"/>
                <w:i/>
                <w:iCs/>
                <w:color w:val="000000"/>
                <w:lang w:eastAsia="it-IT"/>
              </w:rPr>
            </w:pPr>
            <w:sdt>
              <w:sdtPr>
                <w:rPr>
                  <w:rFonts w:ascii="MS Gothic" w:eastAsia="MS Gothic" w:hAnsi="MS Gothic" w:cstheme="minorHAnsi"/>
                  <w:b/>
                  <w:bCs/>
                  <w:color w:val="000000" w:themeColor="text1"/>
                </w:rPr>
                <w:id w:val="90595870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lastRenderedPageBreak/>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Pr="00694B21" w:rsidRDefault="00131EDC" w:rsidP="00131EDC">
      <w:pPr>
        <w:pStyle w:val="Paragrafoelenco"/>
        <w:numPr>
          <w:ilvl w:val="0"/>
          <w:numId w:val="21"/>
        </w:numPr>
        <w:ind w:right="418"/>
        <w:jc w:val="both"/>
        <w:rPr>
          <w:rFonts w:ascii="Calibri Light" w:hAnsi="Calibri Light" w:cs="Calibri Light"/>
          <w:color w:val="000000" w:themeColor="text1"/>
        </w:rPr>
      </w:pPr>
      <w:r w:rsidRPr="00694B21">
        <w:rPr>
          <w:rFonts w:ascii="Calibri Light" w:hAnsi="Calibri Light" w:cs="Calibri Light"/>
          <w:color w:val="000000" w:themeColor="text1"/>
        </w:rPr>
        <w:t>G</w:t>
      </w:r>
      <w:r w:rsidR="004175C9" w:rsidRPr="00694B21">
        <w:rPr>
          <w:rFonts w:ascii="Calibri Light" w:hAnsi="Calibri Light" w:cs="Calibri Light"/>
          <w:color w:val="000000" w:themeColor="text1"/>
        </w:rPr>
        <w:t>iudizio</w:t>
      </w:r>
      <w:r w:rsidRPr="00694B21">
        <w:rPr>
          <w:rFonts w:ascii="Calibri Light" w:hAnsi="Calibri Light" w:cs="Calibri Light"/>
          <w:color w:val="000000" w:themeColor="text1"/>
        </w:rPr>
        <w:t xml:space="preserve"> </w:t>
      </w:r>
      <w:r w:rsidR="004175C9" w:rsidRPr="00694B21">
        <w:rPr>
          <w:rFonts w:ascii="Calibri Light" w:hAnsi="Calibri Light" w:cs="Calibri Light"/>
          <w:color w:val="000000" w:themeColor="text1"/>
        </w:rPr>
        <w:t xml:space="preserve">valutativo </w:t>
      </w:r>
      <w:r w:rsidRPr="00694B21">
        <w:rPr>
          <w:rFonts w:ascii="Calibri Light" w:hAnsi="Calibri Light" w:cs="Calibri Light"/>
          <w:color w:val="000000" w:themeColor="text1"/>
        </w:rPr>
        <w:t>VAS</w:t>
      </w:r>
      <w:r w:rsidR="004175C9" w:rsidRPr="00694B21">
        <w:rPr>
          <w:rFonts w:ascii="Calibri Light" w:hAnsi="Calibri Light" w:cs="Calibri Light"/>
          <w:color w:val="000000" w:themeColor="text1"/>
        </w:rPr>
        <w:t xml:space="preserve"> (cfr. tabella di sintesi per campo di intervento di cui all’Allegato IV del Rapporto Ambientale di VAS)</w:t>
      </w:r>
      <w:r w:rsidR="004175C9" w:rsidRPr="00694B21">
        <w:rPr>
          <w:rStyle w:val="Rimandonotaapidipagina"/>
          <w:rFonts w:ascii="Calibri Light" w:hAnsi="Calibri Light" w:cs="Calibri Light"/>
          <w:color w:val="000000" w:themeColor="text1"/>
        </w:rPr>
        <w:footnoteReference w:id="2"/>
      </w:r>
      <w:r w:rsidRPr="00694B21">
        <w:rPr>
          <w:rFonts w:ascii="Calibri Light" w:hAnsi="Calibri Light" w:cs="Calibri Light"/>
          <w:color w:val="000000" w:themeColor="text1"/>
        </w:rPr>
        <w:t>:</w:t>
      </w:r>
    </w:p>
    <w:p w14:paraId="457D6B76" w14:textId="225F2AAD" w:rsidR="00C8227A" w:rsidRPr="00694B21" w:rsidRDefault="00C8227A" w:rsidP="00A20F77">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Mitigazione dei cambiamenti climatici:</w:t>
      </w:r>
      <w:r w:rsidRPr="00694B21">
        <w:rPr>
          <w:rFonts w:ascii="Calibri Light" w:hAnsi="Calibri Light" w:cs="Calibri Light"/>
          <w:i/>
          <w:iCs/>
          <w:color w:val="000000"/>
          <w:lang w:eastAsia="it-IT"/>
        </w:rPr>
        <w:t xml:space="preserve"> </w:t>
      </w:r>
      <w:r w:rsidR="00694B21" w:rsidRPr="00694B21">
        <w:rPr>
          <w:rFonts w:ascii="Calibri Light" w:hAnsi="Calibri Light" w:cs="Calibri Light"/>
          <w:i/>
          <w:iCs/>
          <w:color w:val="000000"/>
          <w:lang w:eastAsia="it-IT"/>
        </w:rPr>
        <w:t xml:space="preserve">Impatti nulli sull'obiettivo ambientale DNSH, a condizione di integrare i progetti (in fase di attuazione) con i criteri di attuazione e le eventuali misure di mitigazione indicati nella matrice di valutazione. </w:t>
      </w:r>
    </w:p>
    <w:p w14:paraId="2C219B3E" w14:textId="77777777" w:rsidR="000E7E19" w:rsidRDefault="00C8227A" w:rsidP="00916075">
      <w:pPr>
        <w:pStyle w:val="Paragrafoelenco"/>
        <w:numPr>
          <w:ilvl w:val="0"/>
          <w:numId w:val="26"/>
        </w:numPr>
        <w:spacing w:line="0" w:lineRule="atLeast"/>
        <w:jc w:val="both"/>
        <w:rPr>
          <w:rFonts w:ascii="Calibri Light" w:hAnsi="Calibri Light" w:cs="Calibri Light"/>
          <w:i/>
          <w:iCs/>
          <w:color w:val="000000"/>
          <w:lang w:eastAsia="it-IT"/>
        </w:rPr>
      </w:pPr>
      <w:bookmarkStart w:id="1" w:name="_Hlk182908989"/>
      <w:r w:rsidRPr="000E7E19">
        <w:rPr>
          <w:rFonts w:ascii="Calibri Light" w:hAnsi="Calibri Light" w:cs="Calibri Light"/>
          <w:i/>
          <w:iCs/>
          <w:color w:val="000000"/>
          <w:u w:val="single"/>
          <w:lang w:eastAsia="it-IT"/>
        </w:rPr>
        <w:t>Adattamento ai cambiamenti climatici</w:t>
      </w:r>
      <w:bookmarkEnd w:id="1"/>
      <w:r w:rsidRPr="000E7E19">
        <w:rPr>
          <w:rFonts w:ascii="Calibri Light" w:hAnsi="Calibri Light" w:cs="Calibri Light"/>
          <w:i/>
          <w:iCs/>
          <w:color w:val="000000"/>
          <w:u w:val="single"/>
          <w:lang w:eastAsia="it-IT"/>
        </w:rPr>
        <w:t>:</w:t>
      </w:r>
      <w:r w:rsidRP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 xml:space="preserve">Impatti nulli sull'obiettivo ambientale DNSH, a </w:t>
      </w:r>
      <w:r w:rsidR="000E7E19" w:rsidRPr="000E7E19">
        <w:rPr>
          <w:rFonts w:ascii="Calibri Light" w:hAnsi="Calibri Light" w:cs="Calibri Light"/>
          <w:i/>
          <w:iCs/>
          <w:color w:val="000000"/>
          <w:lang w:eastAsia="it-IT"/>
        </w:rPr>
        <w:t xml:space="preserve">condizione che gli </w:t>
      </w:r>
      <w:r w:rsidR="000E7E19" w:rsidRPr="000E7E19">
        <w:rPr>
          <w:rFonts w:ascii="Calibri Light" w:hAnsi="Calibri Light" w:cs="Calibri Light"/>
          <w:i/>
          <w:iCs/>
          <w:color w:val="000000"/>
          <w:lang w:eastAsia="it-IT"/>
        </w:rPr>
        <w:t>investimenti dovranno essere “a prova di clima” e ciascun intervento dovrà tenere conto della resilienza sia a livello di intervento che a livello di sistema o di comunità.</w:t>
      </w:r>
      <w:r w:rsid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Le soluzioni di adattamento dovranno:</w:t>
      </w:r>
    </w:p>
    <w:p w14:paraId="01DE7A46"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4F058D05"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(b) favorire le soluzioni basate sulla natura o si basano, per quanto possibile, su infrastrutture blu o verdi;</w:t>
      </w:r>
    </w:p>
    <w:p w14:paraId="22FFDE80"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(c) essere coerenti con i piani e le strategie di adattamento locali, settoriali, regionali o nazionali;</w:t>
      </w:r>
    </w:p>
    <w:p w14:paraId="568EC59C" w14:textId="4D078B46" w:rsid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6EA3551B" w14:textId="7AE6D05B" w:rsidR="00A20F77" w:rsidRPr="000E7E19" w:rsidRDefault="00C8227A" w:rsidP="00916075">
      <w:pPr>
        <w:pStyle w:val="Paragrafoelenco"/>
        <w:numPr>
          <w:ilvl w:val="0"/>
          <w:numId w:val="26"/>
        </w:numPr>
        <w:spacing w:line="0" w:lineRule="atLeast"/>
        <w:jc w:val="both"/>
        <w:rPr>
          <w:rFonts w:ascii="Calibri Light" w:hAnsi="Calibri Light" w:cs="Calibri Light"/>
          <w:i/>
          <w:iCs/>
          <w:color w:val="000000"/>
          <w:lang w:eastAsia="it-IT"/>
        </w:rPr>
      </w:pPr>
      <w:r w:rsidRPr="000E7E19">
        <w:rPr>
          <w:rFonts w:ascii="Calibri Light" w:hAnsi="Calibri Light" w:cs="Calibri Light"/>
          <w:i/>
          <w:iCs/>
          <w:color w:val="000000"/>
          <w:u w:val="single"/>
          <w:lang w:eastAsia="it-IT"/>
        </w:rPr>
        <w:t>Uso sostenibile o protezione delle risorse idriche e marine:</w:t>
      </w:r>
      <w:r w:rsidRP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Impatti nulli sull'obiettivo ambientale DNSH, a condizion</w:t>
      </w:r>
      <w:r w:rsidR="000E7E19">
        <w:rPr>
          <w:rFonts w:ascii="Calibri Light" w:hAnsi="Calibri Light" w:cs="Calibri Light"/>
          <w:i/>
          <w:iCs/>
          <w:color w:val="000000"/>
          <w:lang w:eastAsia="it-IT"/>
        </w:rPr>
        <w:t>e che nei progetti siano</w:t>
      </w:r>
      <w:r w:rsidR="000E7E19" w:rsidRPr="000E7E19">
        <w:rPr>
          <w:rFonts w:ascii="Calibri Light" w:hAnsi="Calibri Light" w:cs="Calibri Light"/>
          <w:i/>
          <w:iCs/>
          <w:color w:val="000000"/>
          <w:lang w:eastAsia="it-IT"/>
        </w:rPr>
        <w:t xml:space="preserve"> obbligatoriamente </w:t>
      </w:r>
      <w:r w:rsidR="000E7E19">
        <w:rPr>
          <w:rFonts w:ascii="Calibri Light" w:hAnsi="Calibri Light" w:cs="Calibri Light"/>
          <w:i/>
          <w:iCs/>
          <w:color w:val="000000"/>
          <w:lang w:eastAsia="it-IT"/>
        </w:rPr>
        <w:t xml:space="preserve">applicati </w:t>
      </w:r>
      <w:r w:rsidR="000E7E19" w:rsidRPr="000E7E19">
        <w:rPr>
          <w:rFonts w:ascii="Calibri Light" w:hAnsi="Calibri Light" w:cs="Calibri Light"/>
          <w:i/>
          <w:iCs/>
          <w:color w:val="000000"/>
          <w:lang w:eastAsia="it-IT"/>
        </w:rPr>
        <w:t>il CAM edilizia, DM 11-10-2017 che prevede l’impiego di soluzioni, tecnologie e dispositivi per il risparmio idrico</w:t>
      </w:r>
      <w:r w:rsidR="000E7E19">
        <w:rPr>
          <w:rFonts w:ascii="Calibri Light" w:hAnsi="Calibri Light" w:cs="Calibri Light"/>
          <w:i/>
          <w:iCs/>
          <w:color w:val="000000"/>
          <w:lang w:eastAsia="it-IT"/>
        </w:rPr>
        <w:t>;</w:t>
      </w:r>
    </w:p>
    <w:p w14:paraId="576AFCE3" w14:textId="433CFC78" w:rsidR="00C8227A" w:rsidRPr="000E7E19" w:rsidRDefault="00C8227A" w:rsidP="006F5B25">
      <w:pPr>
        <w:pStyle w:val="Paragrafoelenco"/>
        <w:numPr>
          <w:ilvl w:val="0"/>
          <w:numId w:val="26"/>
        </w:numPr>
        <w:spacing w:line="0" w:lineRule="atLeast"/>
        <w:jc w:val="both"/>
        <w:rPr>
          <w:rFonts w:ascii="Calibri Light" w:hAnsi="Calibri Light" w:cs="Calibri Light"/>
          <w:i/>
          <w:iCs/>
          <w:color w:val="000000"/>
          <w:lang w:eastAsia="it-IT"/>
        </w:rPr>
      </w:pPr>
      <w:r w:rsidRPr="000E7E19">
        <w:rPr>
          <w:rFonts w:ascii="Calibri Light" w:hAnsi="Calibri Light" w:cs="Calibri Light"/>
          <w:i/>
          <w:iCs/>
          <w:color w:val="000000"/>
          <w:u w:val="single"/>
          <w:lang w:eastAsia="it-IT"/>
        </w:rPr>
        <w:t>Transizione ad un’economia circolare:</w:t>
      </w:r>
      <w:r w:rsidRP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 xml:space="preserve">Impatti nulli sull'obiettivo ambientale DNSH, a condizione che nei progetti siano obbligatoriamente applicati il CAM edilizia, DM 11-10-2017 </w:t>
      </w:r>
      <w:r w:rsidR="000E7E19">
        <w:rPr>
          <w:rFonts w:ascii="Calibri Light" w:hAnsi="Calibri Light" w:cs="Calibri Light"/>
          <w:i/>
          <w:iCs/>
          <w:color w:val="000000"/>
          <w:lang w:eastAsia="it-IT"/>
        </w:rPr>
        <w:t xml:space="preserve">con </w:t>
      </w:r>
      <w:r w:rsidR="000E7E19" w:rsidRPr="000E7E19">
        <w:rPr>
          <w:rFonts w:ascii="Calibri Light" w:hAnsi="Calibri Light" w:cs="Calibri Light"/>
          <w:i/>
          <w:iCs/>
          <w:color w:val="000000"/>
          <w:lang w:eastAsia="it-IT"/>
        </w:rPr>
        <w:t>l’impiego di materiali con contenuto di riciclato e la demolizione selettiva con obbligo di riciclaggio di almeno il 70% dei rifiuti non pericolosi</w:t>
      </w:r>
      <w:r w:rsidR="000E7E19">
        <w:rPr>
          <w:rFonts w:ascii="Calibri Light" w:hAnsi="Calibri Light" w:cs="Calibri Light"/>
          <w:i/>
          <w:iCs/>
          <w:color w:val="000000"/>
          <w:lang w:eastAsia="it-IT"/>
        </w:rPr>
        <w:t>;</w:t>
      </w:r>
    </w:p>
    <w:p w14:paraId="3E7466B5" w14:textId="32AB78F9" w:rsidR="00C8227A" w:rsidRPr="00694B21" w:rsidRDefault="00C8227A" w:rsidP="00EC1AF6">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Prevenzione e riduzione dell'inquinamento (su aria, acqua, suolo, sottosuolo):</w:t>
      </w:r>
      <w:r w:rsidR="00527ADA" w:rsidRPr="00694B21">
        <w:rPr>
          <w:rFonts w:ascii="Calibri Light" w:hAnsi="Calibri Light" w:cs="Calibri Light"/>
          <w:i/>
          <w:iCs/>
          <w:color w:val="000000"/>
          <w:u w:val="single"/>
          <w:lang w:eastAsia="it-IT"/>
        </w:rPr>
        <w:t xml:space="preserve"> </w:t>
      </w:r>
      <w:r w:rsidR="000E7E19" w:rsidRPr="000E7E19">
        <w:rPr>
          <w:rFonts w:ascii="Calibri Light" w:hAnsi="Calibri Light" w:cs="Calibri Light"/>
          <w:i/>
          <w:iCs/>
          <w:color w:val="000000"/>
          <w:lang w:eastAsia="it-IT"/>
        </w:rPr>
        <w:t xml:space="preserve">Impatti nulli sull'obiettivo ambientale DNSH, a condizione che nei progetti siano obbligatoriamente applicati il CAM edilizia, DM 11-10-2017 con </w:t>
      </w:r>
      <w:proofErr w:type="gramStart"/>
      <w:r w:rsidR="000E7E19" w:rsidRPr="000E7E19">
        <w:rPr>
          <w:rFonts w:ascii="Calibri Light" w:hAnsi="Calibri Light" w:cs="Calibri Light"/>
          <w:i/>
          <w:iCs/>
          <w:color w:val="000000"/>
          <w:lang w:eastAsia="it-IT"/>
        </w:rPr>
        <w:t>l’impiego  di</w:t>
      </w:r>
      <w:proofErr w:type="gramEnd"/>
      <w:r w:rsidR="000E7E19" w:rsidRPr="000E7E19">
        <w:rPr>
          <w:rFonts w:ascii="Calibri Light" w:hAnsi="Calibri Light" w:cs="Calibri Light"/>
          <w:i/>
          <w:iCs/>
          <w:color w:val="000000"/>
          <w:lang w:eastAsia="it-IT"/>
        </w:rPr>
        <w:t xml:space="preserve"> materiali prodotti senza utilizzo di sostanze chimiche pericolose;</w:t>
      </w:r>
    </w:p>
    <w:p w14:paraId="2A32C29A" w14:textId="1C13CDF1" w:rsidR="00C8227A" w:rsidRPr="00C8227A" w:rsidRDefault="00C8227A" w:rsidP="00EC1AF6">
      <w:pPr>
        <w:pStyle w:val="Paragrafoelenco"/>
        <w:numPr>
          <w:ilvl w:val="0"/>
          <w:numId w:val="26"/>
        </w:numPr>
        <w:spacing w:line="0" w:lineRule="atLeast"/>
        <w:jc w:val="both"/>
        <w:rPr>
          <w:rFonts w:ascii="Calibri Light" w:hAnsi="Calibri Light" w:cs="Calibri Light"/>
          <w:color w:val="000000" w:themeColor="text1"/>
        </w:rPr>
      </w:pPr>
      <w:r w:rsidRPr="00694B21">
        <w:rPr>
          <w:rFonts w:ascii="Calibri Light" w:hAnsi="Calibri Light" w:cs="Calibri Light"/>
          <w:i/>
          <w:iCs/>
          <w:color w:val="000000"/>
          <w:u w:val="single"/>
          <w:lang w:eastAsia="it-IT"/>
        </w:rPr>
        <w:t>Protezione e ripristino della biodiversità e degli ecosistemi</w:t>
      </w:r>
      <w:r w:rsidRPr="00AE0044">
        <w:rPr>
          <w:rFonts w:ascii="Calibri Light" w:hAnsi="Calibri Light" w:cs="Calibri Light"/>
          <w:i/>
          <w:iCs/>
          <w:color w:val="000000"/>
          <w:u w:val="single"/>
          <w:lang w:eastAsia="it-IT"/>
        </w:rPr>
        <w:t xml:space="preserve"> (anche consumo suolo):</w:t>
      </w:r>
      <w:r w:rsidRPr="00AE0044">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 xml:space="preserve">Potenziali impatti negativi sull'obiettivo ambientale DNSH in caso di interferenza fisica (es. nuova strada prossima a un'area sensibile per la biodiversità). </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49F6B4CB" w:rsidR="00C07FC0" w:rsidRPr="00D11EF4" w:rsidRDefault="00713135" w:rsidP="00C8227A">
      <w:pPr>
        <w:pStyle w:val="Paragrafoelenco"/>
        <w:spacing w:line="0" w:lineRule="atLeast"/>
        <w:ind w:left="720" w:right="418"/>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642429110"/>
          <w14:checkbox>
            <w14:checked w14:val="0"/>
            <w14:checkedState w14:val="2612" w14:font="MS Gothic"/>
            <w14:uncheckedState w14:val="2610" w14:font="MS Gothic"/>
          </w14:checkbox>
        </w:sdtPr>
        <w:sdtEndPr/>
        <w:sdtContent>
          <w:r w:rsidR="00CA485C">
            <w:rPr>
              <w:rFonts w:ascii="MS Gothic" w:eastAsia="MS Gothic" w:hAnsi="MS Gothic" w:cstheme="minorHAnsi" w:hint="eastAsia"/>
              <w:b/>
              <w:bCs/>
              <w:color w:val="000000" w:themeColor="text1"/>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61C89A99" w:rsidR="00131EDC" w:rsidRDefault="00713135"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806827934"/>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42A3FEB4" w:rsidR="009E7BCC" w:rsidRPr="009E7BCC" w:rsidRDefault="00713135"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954829416"/>
          <w14:checkbox>
            <w14:checked w14:val="1"/>
            <w14:checkedState w14:val="2612" w14:font="MS Gothic"/>
            <w14:uncheckedState w14:val="2610" w14:font="MS Gothic"/>
          </w14:checkbox>
        </w:sdtPr>
        <w:sdtEndPr/>
        <w:sdtContent>
          <w:r w:rsidR="00CA485C">
            <w:rPr>
              <w:rFonts w:ascii="MS Gothic" w:eastAsia="MS Gothic" w:hAnsi="MS Gothic" w:cstheme="minorHAnsi" w:hint="eastAsia"/>
              <w:b/>
              <w:bCs/>
              <w:color w:val="000000" w:themeColor="text1"/>
            </w:rPr>
            <w:t>☒</w:t>
          </w:r>
        </w:sdtContent>
      </w:sdt>
      <w:r w:rsidR="00527ADA">
        <w:rPr>
          <w:rFonts w:ascii="Calibri Light" w:hAnsi="Calibri Light" w:cs="Calibri Light"/>
          <w:color w:val="000000" w:themeColor="text1"/>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39FCFDE" w:rsidR="009E7BCC" w:rsidRDefault="00713135"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37412564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7FF58D18" w:rsidR="00AF1772" w:rsidRPr="00EC2CCB" w:rsidRDefault="00713135"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0"/>
            <w14:checkedState w14:val="2612" w14:font="MS Gothic"/>
            <w14:uncheckedState w14:val="2610" w14:font="MS Gothic"/>
          </w14:checkbox>
        </w:sdtPr>
        <w:sdtEndPr/>
        <w:sdtContent>
          <w:r w:rsidR="00694B21">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7BA67205" w:rsidR="00AF1772" w:rsidRPr="00EC2CCB" w:rsidRDefault="00713135"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1"/>
            <w14:checkedState w14:val="2612" w14:font="MS Gothic"/>
            <w14:uncheckedState w14:val="2610" w14:font="MS Gothic"/>
          </w14:checkbox>
        </w:sdtPr>
        <w:sdtEndPr/>
        <w:sdtContent>
          <w:r w:rsidR="00694B21">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F80D4DB" w:rsidR="00A85E21" w:rsidRDefault="00713135"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527ADA">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P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03BA738" w14:textId="77777777" w:rsidR="00527ADA" w:rsidRDefault="00527ADA" w:rsidP="00A85E21">
      <w:pPr>
        <w:ind w:left="360" w:right="418" w:firstLine="349"/>
        <w:jc w:val="both"/>
        <w:rPr>
          <w:rFonts w:ascii="MS Gothic" w:eastAsia="MS Gothic" w:hAnsi="MS Gothic" w:cstheme="minorHAnsi"/>
          <w:b/>
          <w:bCs/>
          <w:color w:val="000000" w:themeColor="text1"/>
        </w:rPr>
      </w:pPr>
    </w:p>
    <w:p w14:paraId="5DD8D64F" w14:textId="56986A87" w:rsidR="00A85E21" w:rsidRDefault="00713135"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FF1699"/>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5"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7"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1"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2"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3"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068072623">
    <w:abstractNumId w:val="17"/>
  </w:num>
  <w:num w:numId="2" w16cid:durableId="704139320">
    <w:abstractNumId w:val="23"/>
  </w:num>
  <w:num w:numId="3" w16cid:durableId="2023698704">
    <w:abstractNumId w:val="8"/>
  </w:num>
  <w:num w:numId="4" w16cid:durableId="1842038733">
    <w:abstractNumId w:val="14"/>
  </w:num>
  <w:num w:numId="5" w16cid:durableId="689835128">
    <w:abstractNumId w:val="21"/>
  </w:num>
  <w:num w:numId="6" w16cid:durableId="998659404">
    <w:abstractNumId w:val="16"/>
  </w:num>
  <w:num w:numId="7" w16cid:durableId="2034720940">
    <w:abstractNumId w:val="4"/>
  </w:num>
  <w:num w:numId="8" w16cid:durableId="589659114">
    <w:abstractNumId w:val="20"/>
  </w:num>
  <w:num w:numId="9" w16cid:durableId="1453015676">
    <w:abstractNumId w:val="1"/>
  </w:num>
  <w:num w:numId="10" w16cid:durableId="1993176705">
    <w:abstractNumId w:val="22"/>
  </w:num>
  <w:num w:numId="11" w16cid:durableId="593975660">
    <w:abstractNumId w:val="15"/>
  </w:num>
  <w:num w:numId="12" w16cid:durableId="1153326308">
    <w:abstractNumId w:val="6"/>
  </w:num>
  <w:num w:numId="13" w16cid:durableId="1058013317">
    <w:abstractNumId w:val="10"/>
  </w:num>
  <w:num w:numId="14" w16cid:durableId="1257597191">
    <w:abstractNumId w:val="15"/>
  </w:num>
  <w:num w:numId="15" w16cid:durableId="730346378">
    <w:abstractNumId w:val="0"/>
  </w:num>
  <w:num w:numId="16" w16cid:durableId="1191332741">
    <w:abstractNumId w:val="7"/>
  </w:num>
  <w:num w:numId="17" w16cid:durableId="1927104697">
    <w:abstractNumId w:val="2"/>
  </w:num>
  <w:num w:numId="18" w16cid:durableId="317272627">
    <w:abstractNumId w:val="2"/>
    <w:lvlOverride w:ilvl="0">
      <w:startOverride w:val="1"/>
    </w:lvlOverride>
  </w:num>
  <w:num w:numId="19" w16cid:durableId="1666010936">
    <w:abstractNumId w:val="11"/>
  </w:num>
  <w:num w:numId="20" w16cid:durableId="2076272695">
    <w:abstractNumId w:val="13"/>
  </w:num>
  <w:num w:numId="21" w16cid:durableId="268242270">
    <w:abstractNumId w:val="9"/>
  </w:num>
  <w:num w:numId="22" w16cid:durableId="57363929">
    <w:abstractNumId w:val="18"/>
  </w:num>
  <w:num w:numId="23" w16cid:durableId="1864904941">
    <w:abstractNumId w:val="19"/>
  </w:num>
  <w:num w:numId="24" w16cid:durableId="2138327399">
    <w:abstractNumId w:val="3"/>
  </w:num>
  <w:num w:numId="25" w16cid:durableId="122313659">
    <w:abstractNumId w:val="5"/>
  </w:num>
  <w:num w:numId="26" w16cid:durableId="6384126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E7E19"/>
    <w:rsid w:val="000F2142"/>
    <w:rsid w:val="000F3C52"/>
    <w:rsid w:val="000F4A83"/>
    <w:rsid w:val="00110B35"/>
    <w:rsid w:val="00131EDC"/>
    <w:rsid w:val="00135310"/>
    <w:rsid w:val="00135902"/>
    <w:rsid w:val="00153238"/>
    <w:rsid w:val="00156D99"/>
    <w:rsid w:val="00163953"/>
    <w:rsid w:val="00170893"/>
    <w:rsid w:val="001754C8"/>
    <w:rsid w:val="00175E9D"/>
    <w:rsid w:val="00177E03"/>
    <w:rsid w:val="001863E1"/>
    <w:rsid w:val="001B1C7D"/>
    <w:rsid w:val="001C49FE"/>
    <w:rsid w:val="001D1466"/>
    <w:rsid w:val="001E366B"/>
    <w:rsid w:val="001F44E6"/>
    <w:rsid w:val="001F7045"/>
    <w:rsid w:val="002104B5"/>
    <w:rsid w:val="0023630F"/>
    <w:rsid w:val="00237501"/>
    <w:rsid w:val="00244066"/>
    <w:rsid w:val="00245F57"/>
    <w:rsid w:val="00294B5E"/>
    <w:rsid w:val="002968BA"/>
    <w:rsid w:val="002A4851"/>
    <w:rsid w:val="002C46A7"/>
    <w:rsid w:val="002C55D9"/>
    <w:rsid w:val="002E5191"/>
    <w:rsid w:val="003030FF"/>
    <w:rsid w:val="00311B72"/>
    <w:rsid w:val="00313A2E"/>
    <w:rsid w:val="003145F1"/>
    <w:rsid w:val="0033201B"/>
    <w:rsid w:val="003749E0"/>
    <w:rsid w:val="003856AF"/>
    <w:rsid w:val="003B4604"/>
    <w:rsid w:val="00400A31"/>
    <w:rsid w:val="00406D94"/>
    <w:rsid w:val="004175C9"/>
    <w:rsid w:val="00425551"/>
    <w:rsid w:val="004278BE"/>
    <w:rsid w:val="00447110"/>
    <w:rsid w:val="004666C4"/>
    <w:rsid w:val="00472284"/>
    <w:rsid w:val="00484820"/>
    <w:rsid w:val="004873B8"/>
    <w:rsid w:val="00490CAB"/>
    <w:rsid w:val="004954CC"/>
    <w:rsid w:val="004A0459"/>
    <w:rsid w:val="004A35E5"/>
    <w:rsid w:val="004A3965"/>
    <w:rsid w:val="004A3F97"/>
    <w:rsid w:val="004C733B"/>
    <w:rsid w:val="004C7E43"/>
    <w:rsid w:val="004D04A7"/>
    <w:rsid w:val="004E10B4"/>
    <w:rsid w:val="004F1D63"/>
    <w:rsid w:val="00505791"/>
    <w:rsid w:val="00510C09"/>
    <w:rsid w:val="00516E9E"/>
    <w:rsid w:val="00527ADA"/>
    <w:rsid w:val="0054644D"/>
    <w:rsid w:val="00560536"/>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428F"/>
    <w:rsid w:val="00694B21"/>
    <w:rsid w:val="00696433"/>
    <w:rsid w:val="006A58C8"/>
    <w:rsid w:val="006C0E0B"/>
    <w:rsid w:val="006C3BF5"/>
    <w:rsid w:val="006C54E2"/>
    <w:rsid w:val="006D2414"/>
    <w:rsid w:val="006D3126"/>
    <w:rsid w:val="006E11D6"/>
    <w:rsid w:val="006E6393"/>
    <w:rsid w:val="00711933"/>
    <w:rsid w:val="00713135"/>
    <w:rsid w:val="007148AC"/>
    <w:rsid w:val="00715E76"/>
    <w:rsid w:val="007616AE"/>
    <w:rsid w:val="0076377A"/>
    <w:rsid w:val="00764F39"/>
    <w:rsid w:val="007C6828"/>
    <w:rsid w:val="007E45DA"/>
    <w:rsid w:val="007F7CC4"/>
    <w:rsid w:val="00807716"/>
    <w:rsid w:val="00811CA2"/>
    <w:rsid w:val="00827A1E"/>
    <w:rsid w:val="00835099"/>
    <w:rsid w:val="008563B4"/>
    <w:rsid w:val="00872258"/>
    <w:rsid w:val="008841DB"/>
    <w:rsid w:val="00886253"/>
    <w:rsid w:val="0089311A"/>
    <w:rsid w:val="008B1DDD"/>
    <w:rsid w:val="008C1E74"/>
    <w:rsid w:val="008C6FFC"/>
    <w:rsid w:val="008C7634"/>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B6A5B"/>
    <w:rsid w:val="009B6DED"/>
    <w:rsid w:val="009C06E1"/>
    <w:rsid w:val="009C28E0"/>
    <w:rsid w:val="009D58CC"/>
    <w:rsid w:val="009D5E71"/>
    <w:rsid w:val="009E303A"/>
    <w:rsid w:val="009E4103"/>
    <w:rsid w:val="009E720C"/>
    <w:rsid w:val="009E7BCC"/>
    <w:rsid w:val="00A03E2E"/>
    <w:rsid w:val="00A160F0"/>
    <w:rsid w:val="00A20F77"/>
    <w:rsid w:val="00A40F78"/>
    <w:rsid w:val="00A472F9"/>
    <w:rsid w:val="00A610DF"/>
    <w:rsid w:val="00A70D78"/>
    <w:rsid w:val="00A738F8"/>
    <w:rsid w:val="00A74F32"/>
    <w:rsid w:val="00A80AC4"/>
    <w:rsid w:val="00A85E21"/>
    <w:rsid w:val="00A876DC"/>
    <w:rsid w:val="00AB6133"/>
    <w:rsid w:val="00AB62A5"/>
    <w:rsid w:val="00AB6E69"/>
    <w:rsid w:val="00AD060B"/>
    <w:rsid w:val="00AD1162"/>
    <w:rsid w:val="00AE26ED"/>
    <w:rsid w:val="00AF1772"/>
    <w:rsid w:val="00AF2DD0"/>
    <w:rsid w:val="00B00FEF"/>
    <w:rsid w:val="00B04FD1"/>
    <w:rsid w:val="00B22829"/>
    <w:rsid w:val="00B32594"/>
    <w:rsid w:val="00B42557"/>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EA9"/>
    <w:rsid w:val="00C9411C"/>
    <w:rsid w:val="00C97337"/>
    <w:rsid w:val="00CA274A"/>
    <w:rsid w:val="00CA485C"/>
    <w:rsid w:val="00CC735A"/>
    <w:rsid w:val="00CE0CC8"/>
    <w:rsid w:val="00CE31DC"/>
    <w:rsid w:val="00D11EF4"/>
    <w:rsid w:val="00D21665"/>
    <w:rsid w:val="00D30AFF"/>
    <w:rsid w:val="00D32794"/>
    <w:rsid w:val="00D90048"/>
    <w:rsid w:val="00DA1F2C"/>
    <w:rsid w:val="00DC0676"/>
    <w:rsid w:val="00DD2166"/>
    <w:rsid w:val="00DF1F61"/>
    <w:rsid w:val="00E1101A"/>
    <w:rsid w:val="00E17C47"/>
    <w:rsid w:val="00E22665"/>
    <w:rsid w:val="00E64E3A"/>
    <w:rsid w:val="00E859B5"/>
    <w:rsid w:val="00EA1A40"/>
    <w:rsid w:val="00EA61B9"/>
    <w:rsid w:val="00EB1EA5"/>
    <w:rsid w:val="00EC1AF6"/>
    <w:rsid w:val="00EC2CCB"/>
    <w:rsid w:val="00EC42FA"/>
    <w:rsid w:val="00ED669D"/>
    <w:rsid w:val="00F114EC"/>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737215-4CFC-4E86-8D71-BC4129EDA9B2}">
  <ds:schemaRefs>
    <ds:schemaRef ds:uri="http://schemas.openxmlformats.org/officeDocument/2006/bibliography"/>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1002</Words>
  <Characters>5717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32</cp:revision>
  <dcterms:created xsi:type="dcterms:W3CDTF">2025-02-10T10:36:00Z</dcterms:created>
  <dcterms:modified xsi:type="dcterms:W3CDTF">2025-04-15T21:02:00Z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