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5D90B7E8" w14:textId="77777777" w:rsidR="003C0F44" w:rsidRDefault="003C0F44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</w:p>
    <w:p w14:paraId="3170425F" w14:textId="7EC16D72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E9FB645" w14:textId="0D458E88" w:rsidR="00122DE6" w:rsidRDefault="00122DE6" w:rsidP="003C0F44">
      <w:pPr>
        <w:spacing w:line="276" w:lineRule="auto"/>
        <w:jc w:val="both"/>
        <w:rPr>
          <w:b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="003C0F44">
        <w:rPr>
          <w:rFonts w:cstheme="minorHAnsi"/>
          <w:b/>
          <w:bCs/>
          <w:lang w:eastAsia="it-IT"/>
        </w:rPr>
        <w:t xml:space="preserve"> </w:t>
      </w:r>
      <w:r w:rsidRPr="00116888">
        <w:rPr>
          <w:rFonts w:cstheme="minorHAnsi"/>
          <w:b/>
          <w:bCs/>
          <w:lang w:eastAsia="it-IT"/>
        </w:rPr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="003C0F44">
        <w:rPr>
          <w:rFonts w:cstheme="minorHAnsi"/>
          <w:b/>
          <w:bCs/>
          <w:lang w:eastAsia="it-IT"/>
        </w:rPr>
        <w:t xml:space="preserve"> </w:t>
      </w:r>
      <w:r w:rsidRPr="00116888">
        <w:rPr>
          <w:rFonts w:cstheme="minorHAnsi"/>
          <w:b/>
          <w:bCs/>
          <w:lang w:eastAsia="it-IT"/>
        </w:rPr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  <w:r w:rsidR="003C0F44">
        <w:rPr>
          <w:rFonts w:cstheme="minorHAnsi"/>
          <w:b/>
          <w:bCs/>
          <w:lang w:eastAsia="it-IT"/>
        </w:rPr>
        <w:t xml:space="preserve"> </w:t>
      </w: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  <w:r w:rsidR="003C0F44">
        <w:rPr>
          <w:b/>
        </w:rPr>
        <w:t>.</w:t>
      </w:r>
    </w:p>
    <w:p w14:paraId="153901D0" w14:textId="77777777" w:rsidR="003C0F44" w:rsidRDefault="003C0F44" w:rsidP="003C0F44">
      <w:pPr>
        <w:spacing w:line="360" w:lineRule="auto"/>
        <w:jc w:val="both"/>
        <w:rPr>
          <w:b/>
        </w:rPr>
      </w:pPr>
    </w:p>
    <w:p w14:paraId="7D5D48DE" w14:textId="77777777" w:rsidR="003C0F44" w:rsidRPr="00F113C3" w:rsidRDefault="003C0F44" w:rsidP="003C0F44">
      <w:pPr>
        <w:spacing w:line="360" w:lineRule="auto"/>
        <w:jc w:val="both"/>
        <w:rPr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</w:t>
      </w:r>
      <w:proofErr w:type="gramStart"/>
      <w:r w:rsidRPr="00116888">
        <w:rPr>
          <w:rFonts w:cstheme="minorHAnsi"/>
          <w:lang w:eastAsia="it-IT"/>
        </w:rPr>
        <w:t>.................................... ,</w:t>
      </w:r>
      <w:proofErr w:type="gramEnd"/>
      <w:r w:rsidRPr="00116888">
        <w:rPr>
          <w:rFonts w:cstheme="minorHAnsi"/>
          <w:lang w:eastAsia="it-IT"/>
        </w:rPr>
        <w:t xml:space="preserve">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2EEE92A1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811BDC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2964C2" w:rsidRPr="00811BDC">
        <w:rPr>
          <w:rFonts w:cstheme="minorHAnsi"/>
          <w:b/>
          <w:u w:val="single"/>
          <w:lang w:eastAsia="it-IT"/>
        </w:rPr>
        <w:t>nr.</w:t>
      </w:r>
      <w:r w:rsidR="002964C2">
        <w:rPr>
          <w:rFonts w:cstheme="minorHAnsi"/>
          <w:lang w:eastAsia="it-IT"/>
        </w:rPr>
        <w:t xml:space="preserve"> </w:t>
      </w:r>
      <w:r w:rsidR="002964C2" w:rsidRPr="006849CA">
        <w:rPr>
          <w:rFonts w:cstheme="minorHAnsi"/>
          <w:b/>
          <w:u w:val="single"/>
          <w:lang w:eastAsia="it-IT"/>
        </w:rPr>
        <w:t>1 Lavori di manutenzione straordinaria della strada comunale di collegamento del quartiere San Zaccaria con la Strada Provinciale SP28</w:t>
      </w:r>
      <w:r w:rsidRPr="002964C2">
        <w:rPr>
          <w:rFonts w:cstheme="minorHAnsi"/>
          <w:b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7571CEC5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FB374F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8FB6" w14:textId="77777777" w:rsidR="002672C2" w:rsidRDefault="002672C2" w:rsidP="00CE739B">
      <w:r>
        <w:separator/>
      </w:r>
    </w:p>
  </w:endnote>
  <w:endnote w:type="continuationSeparator" w:id="0">
    <w:p w14:paraId="48A214A2" w14:textId="77777777" w:rsidR="002672C2" w:rsidRDefault="002672C2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C989" w14:textId="77777777" w:rsidR="002672C2" w:rsidRDefault="002672C2" w:rsidP="00CE739B">
      <w:r>
        <w:separator/>
      </w:r>
    </w:p>
  </w:footnote>
  <w:footnote w:type="continuationSeparator" w:id="0">
    <w:p w14:paraId="51F37430" w14:textId="77777777" w:rsidR="002672C2" w:rsidRDefault="002672C2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998064">
    <w:abstractNumId w:val="1"/>
  </w:num>
  <w:num w:numId="2" w16cid:durableId="635718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0F768B"/>
    <w:rsid w:val="00105DC6"/>
    <w:rsid w:val="00116888"/>
    <w:rsid w:val="00122DE6"/>
    <w:rsid w:val="001A0620"/>
    <w:rsid w:val="001B5AFD"/>
    <w:rsid w:val="001C4FED"/>
    <w:rsid w:val="001F2623"/>
    <w:rsid w:val="002672C2"/>
    <w:rsid w:val="002964C2"/>
    <w:rsid w:val="003C0F44"/>
    <w:rsid w:val="00442F99"/>
    <w:rsid w:val="00454072"/>
    <w:rsid w:val="00475CDA"/>
    <w:rsid w:val="005632D9"/>
    <w:rsid w:val="006275E4"/>
    <w:rsid w:val="00681332"/>
    <w:rsid w:val="006849CA"/>
    <w:rsid w:val="006D53E8"/>
    <w:rsid w:val="00701EAF"/>
    <w:rsid w:val="00811BDC"/>
    <w:rsid w:val="00897CF1"/>
    <w:rsid w:val="008F7FA4"/>
    <w:rsid w:val="00920BE7"/>
    <w:rsid w:val="009E7910"/>
    <w:rsid w:val="009F7DA9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113C3"/>
    <w:rsid w:val="00FB374F"/>
    <w:rsid w:val="00FE4CCA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82F4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21</cp:revision>
  <dcterms:created xsi:type="dcterms:W3CDTF">2025-02-25T11:23:00Z</dcterms:created>
  <dcterms:modified xsi:type="dcterms:W3CDTF">2025-05-27T15:03:00Z</dcterms:modified>
</cp:coreProperties>
</file>