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AB2B1" w14:textId="02DD6CB0" w:rsidR="005A162C" w:rsidRPr="00C65287" w:rsidRDefault="005A162C" w:rsidP="00C65287">
      <w:pPr>
        <w:spacing w:before="100" w:beforeAutospacing="1" w:after="100" w:afterAutospacing="1" w:line="276" w:lineRule="auto"/>
        <w:ind w:left="4956" w:firstLine="708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A</w:t>
      </w:r>
      <w:r w:rsidR="00024CBD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 comune </w:t>
      </w:r>
      <w:r w:rsidR="00024CBD" w:rsidRPr="008450E9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8450E9" w:rsidRPr="008450E9">
        <w:rPr>
          <w:rFonts w:eastAsia="Times New Roman" w:cstheme="minorHAnsi"/>
          <w:b/>
          <w:kern w:val="0"/>
          <w:lang w:eastAsia="it-IT"/>
          <w14:ligatures w14:val="none"/>
        </w:rPr>
        <w:t>Pagliara</w:t>
      </w:r>
    </w:p>
    <w:p w14:paraId="7255E413" w14:textId="51A40834" w:rsidR="005A162C" w:rsidRPr="00C65287" w:rsidRDefault="005A162C" w:rsidP="00C65287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Oggetto: PR FESR 2021/2027 – Lettera di Invito per la selezione dell’operazione </w:t>
      </w:r>
      <w:r w:rsidR="008450E9" w:rsidRPr="00D529FE">
        <w:rPr>
          <w:rFonts w:cstheme="minorHAnsi"/>
          <w:b/>
          <w:u w:val="single"/>
          <w:lang w:eastAsia="it-IT"/>
        </w:rPr>
        <w:t xml:space="preserve">nr. 18 </w:t>
      </w:r>
      <w:r w:rsidR="002B2CAB" w:rsidRPr="002B2CAB">
        <w:rPr>
          <w:rFonts w:cstheme="minorHAnsi"/>
          <w:b/>
          <w:bCs/>
          <w:iCs/>
          <w:u w:val="single"/>
          <w:lang w:eastAsia="it-IT"/>
        </w:rPr>
        <w:t>Miglioramento della qualità del decoro urbano, del tessuto sociale e ambiente, mediante la riqualificazione della Piazza Falcone e Borsellino sita su Via dei Mille della frazione Rocchenere quali spazi pubblici di aggregazione</w:t>
      </w:r>
      <w:r w:rsidR="002B2CAB">
        <w:rPr>
          <w:rFonts w:cstheme="minorHAnsi"/>
          <w:b/>
          <w:bCs/>
          <w:iCs/>
          <w:u w:val="single"/>
          <w:lang w:eastAsia="it-IT"/>
        </w:rPr>
        <w:t xml:space="preserve"> </w:t>
      </w:r>
      <w:r w:rsidRPr="00E04225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 di</w:t>
      </w:r>
      <w:r w:rsidR="00E04225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="008450E9" w:rsidRPr="008450E9">
        <w:rPr>
          <w:rFonts w:eastAsia="Times New Roman" w:cstheme="minorHAnsi"/>
          <w:b/>
          <w:kern w:val="0"/>
          <w:lang w:eastAsia="it-IT"/>
          <w14:ligatures w14:val="none"/>
        </w:rPr>
        <w:t>Pagliara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nell’ambito della Strategia Territoriale (ST) </w:t>
      </w:r>
      <w:r w:rsidR="004009F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4009FA" w:rsidRPr="004009FA">
        <w:rPr>
          <w:rFonts w:eastAsia="Times New Roman" w:cstheme="minorHAnsi"/>
          <w:b/>
          <w:kern w:val="0"/>
          <w:lang w:eastAsia="it-IT"/>
          <w14:ligatures w14:val="none"/>
        </w:rPr>
        <w:t>Santa Teresa di Riva delle Valli Joniche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a valere sulla </w:t>
      </w:r>
      <w:proofErr w:type="spellStart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>Priorita</w:t>
      </w:r>
      <w:proofErr w:type="spellEnd"/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̀ </w:t>
      </w:r>
      <w:r w:rsidR="00024CBD" w:rsidRPr="00024CBD">
        <w:rPr>
          <w:rFonts w:eastAsia="Times New Roman" w:cstheme="minorHAnsi"/>
          <w:b/>
          <w:bCs/>
          <w:kern w:val="0"/>
          <w:lang w:eastAsia="it-IT"/>
          <w14:ligatures w14:val="none"/>
        </w:rPr>
        <w:t>6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– Azione </w:t>
      </w:r>
      <w:r w:rsidR="00024CBD" w:rsidRPr="00024CBD">
        <w:rPr>
          <w:rFonts w:eastAsia="Times New Roman" w:cstheme="minorHAnsi"/>
          <w:b/>
          <w:bCs/>
          <w:kern w:val="0"/>
          <w:lang w:eastAsia="it-IT"/>
          <w14:ligatures w14:val="none"/>
        </w:rPr>
        <w:t>5.2.1.1</w:t>
      </w:r>
      <w:r w:rsidR="002B2CAB">
        <w:rPr>
          <w:rFonts w:eastAsia="Times New Roman" w:cstheme="minorHAnsi"/>
          <w:b/>
          <w:bCs/>
          <w:kern w:val="0"/>
          <w:lang w:eastAsia="it-IT"/>
          <w14:ligatures w14:val="none"/>
        </w:rPr>
        <w:t>8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cofinanziato dal Fondo europeo di sviluppo regionale (FESR). </w:t>
      </w:r>
    </w:p>
    <w:p w14:paraId="641B9A72" w14:textId="52859B3D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presente lettera di invito fa seguito al percorso fin qui posto in essere per l’attivazione delle risorse che il PR FESR 2021 – 2027 ha destinato allo sviluppo </w:t>
      </w:r>
      <w:r w:rsidR="006036B8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per mezzo di Strategie Territoriali che prevedono azioni integrate per far fronte alle sfide di carattere demografico, sociale, economico e ambientale delle Aree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</w:p>
    <w:p w14:paraId="1200F6D6" w14:textId="71DA78CF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Il PR FESR Sicilia 2021 – 2027, adottato dalla Commissione europea con Decisione C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(2022) n. 9366 del 08.12.2022, individua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le Aree 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eleggibili ad assumere il ruolo di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cui compete, tra le altre, la selezione delle operazioni ai sensi dell’articolo 29.3 del Regolamento UE 1060/2021; </w:t>
      </w:r>
    </w:p>
    <w:p w14:paraId="4A0A270A" w14:textId="2E1E8C5C" w:rsidR="005A162C" w:rsidRPr="00E04225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’Area Interna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>Santa Teresa di Riva delle Valli Joniche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si è formalmente costituita in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>giusta convenzione stipulata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in data 31.03.2023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ai sensi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dell’art. 30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del D.lgs. 267/2000 e </w:t>
      </w:r>
      <w:proofErr w:type="spellStart"/>
      <w:r w:rsidRPr="00E04225">
        <w:rPr>
          <w:rFonts w:eastAsia="Times New Roman" w:cstheme="minorHAnsi"/>
          <w:kern w:val="0"/>
          <w:lang w:eastAsia="it-IT"/>
          <w14:ligatures w14:val="none"/>
        </w:rPr>
        <w:t>ss.mm.ii</w:t>
      </w:r>
      <w:proofErr w:type="spellEnd"/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ed è stata formalmente riconosciuta dall’Autorità di Gestione del PR FESR 2021 – 2027 con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nota 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del D.G. del Dipartimento della Programmazione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nr. 13146 del 23.10.2024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288866D" w14:textId="5EFDC602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Strategia dell’Autorità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 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è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stata, </w:t>
      </w:r>
      <w:r w:rsidR="00B91906" w:rsidRPr="00C65287">
        <w:rPr>
          <w:rFonts w:eastAsia="Times New Roman" w:cstheme="minorHAnsi"/>
          <w:kern w:val="0"/>
          <w:lang w:eastAsia="it-IT"/>
          <w14:ligatures w14:val="none"/>
        </w:rPr>
        <w:t>altresì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̀, verificata positivamente dall’Autorità di Gestione del PR FESR 2021 – 2027 con </w:t>
      </w:r>
      <w:r w:rsidR="006927EE">
        <w:rPr>
          <w:rFonts w:eastAsia="Times New Roman" w:cstheme="minorHAnsi"/>
          <w:kern w:val="0"/>
          <w:lang w:eastAsia="it-IT"/>
          <w14:ligatures w14:val="none"/>
        </w:rPr>
        <w:t>.D.G. del Dipartimento Programmazione nr. 737 del 12.11.2024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4A99A444" w14:textId="2F1549D7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presente lettera di Invito, con gli allegati che ne formano parte integrante, è conforme e coerente al “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predisposto dall’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AdG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PR FESR 2021-2027 e approvato con </w:t>
      </w:r>
      <w:bookmarkStart w:id="0" w:name="_Hlk192247092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DGR 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n.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316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11.10.2024 così come modificato con DDG n. 777 del 14.11.2024 e con </w:t>
      </w:r>
      <w:bookmarkEnd w:id="0"/>
      <w:r w:rsidR="002F3BF6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024CBD" w:rsidRPr="000E28BB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26.05.2025;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033FA60B" w14:textId="5A2CF767" w:rsidR="00941D98" w:rsidRPr="00CC0179" w:rsidRDefault="005A162C" w:rsidP="00CC0179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C0179">
        <w:rPr>
          <w:rFonts w:eastAsia="Times New Roman" w:cstheme="minorHAnsi"/>
          <w:kern w:val="0"/>
          <w:lang w:eastAsia="it-IT"/>
          <w14:ligatures w14:val="none"/>
        </w:rPr>
        <w:t xml:space="preserve">Per quel che concerne l’Obiettivo </w:t>
      </w:r>
      <w:r w:rsidR="00024CBD" w:rsidRPr="00CC0179">
        <w:rPr>
          <w:rFonts w:eastAsia="Times New Roman" w:cstheme="minorHAnsi"/>
          <w:kern w:val="0"/>
          <w:lang w:eastAsia="it-IT"/>
          <w14:ligatures w14:val="none"/>
        </w:rPr>
        <w:t xml:space="preserve">Specifico </w:t>
      </w:r>
      <w:r w:rsidR="00024CBD" w:rsidRPr="00CC0179">
        <w:rPr>
          <w:rFonts w:ascii="Calibri"/>
          <w:b/>
        </w:rPr>
        <w:t>5.2. Promuovere lo sviluppo sociale,</w:t>
      </w:r>
      <w:r w:rsidR="00024CBD" w:rsidRPr="00CC0179">
        <w:rPr>
          <w:rFonts w:ascii="Calibri"/>
          <w:b/>
          <w:spacing w:val="-13"/>
        </w:rPr>
        <w:t xml:space="preserve"> </w:t>
      </w:r>
      <w:r w:rsidR="00024CBD" w:rsidRPr="00CC0179">
        <w:rPr>
          <w:rFonts w:ascii="Calibri"/>
          <w:b/>
        </w:rPr>
        <w:t>economico</w:t>
      </w:r>
      <w:r w:rsidR="00024CBD" w:rsidRPr="00CC0179">
        <w:rPr>
          <w:rFonts w:ascii="Calibri"/>
          <w:b/>
          <w:spacing w:val="-12"/>
        </w:rPr>
        <w:t xml:space="preserve"> </w:t>
      </w:r>
      <w:r w:rsidR="00024CBD" w:rsidRPr="00CC0179">
        <w:rPr>
          <w:rFonts w:ascii="Calibri"/>
          <w:b/>
        </w:rPr>
        <w:t>e</w:t>
      </w:r>
      <w:r w:rsidR="00024CBD" w:rsidRPr="00CC0179">
        <w:rPr>
          <w:rFonts w:ascii="Calibri"/>
          <w:b/>
          <w:spacing w:val="-13"/>
        </w:rPr>
        <w:t xml:space="preserve"> </w:t>
      </w:r>
      <w:r w:rsidR="00024CBD" w:rsidRPr="00CC0179">
        <w:rPr>
          <w:rFonts w:ascii="Calibri"/>
          <w:b/>
        </w:rPr>
        <w:t>ambientale integrato e inclusivo a livello locale, la cultura, il patrimonio naturale,</w:t>
      </w:r>
      <w:r w:rsidR="00024CBD" w:rsidRPr="00CC0179">
        <w:rPr>
          <w:rFonts w:ascii="Calibri"/>
          <w:b/>
          <w:spacing w:val="-3"/>
        </w:rPr>
        <w:t xml:space="preserve"> </w:t>
      </w:r>
      <w:r w:rsidR="00024CBD" w:rsidRPr="00CC0179">
        <w:rPr>
          <w:rFonts w:ascii="Calibri"/>
          <w:b/>
        </w:rPr>
        <w:t>il turismo</w:t>
      </w:r>
      <w:r w:rsidR="00024CBD" w:rsidRPr="00CC0179">
        <w:rPr>
          <w:rFonts w:ascii="Calibri"/>
          <w:b/>
          <w:spacing w:val="-6"/>
        </w:rPr>
        <w:t xml:space="preserve"> </w:t>
      </w:r>
      <w:r w:rsidR="00024CBD" w:rsidRPr="00CC0179">
        <w:rPr>
          <w:rFonts w:ascii="Calibri"/>
          <w:b/>
        </w:rPr>
        <w:t>sostenibile e la</w:t>
      </w:r>
      <w:r w:rsidR="00024CBD" w:rsidRPr="00CC0179">
        <w:rPr>
          <w:rFonts w:ascii="Calibri"/>
          <w:b/>
          <w:spacing w:val="-16"/>
        </w:rPr>
        <w:t xml:space="preserve"> </w:t>
      </w:r>
      <w:r w:rsidR="00024CBD" w:rsidRPr="00CC0179">
        <w:rPr>
          <w:rFonts w:ascii="Calibri"/>
          <w:b/>
        </w:rPr>
        <w:t>sicurezza</w:t>
      </w:r>
      <w:r w:rsidR="00024CBD" w:rsidRPr="00CC0179">
        <w:rPr>
          <w:rFonts w:ascii="Calibri"/>
          <w:b/>
          <w:spacing w:val="-14"/>
        </w:rPr>
        <w:t xml:space="preserve"> </w:t>
      </w:r>
      <w:r w:rsidR="00024CBD" w:rsidRPr="00CC0179">
        <w:rPr>
          <w:rFonts w:ascii="Calibri"/>
          <w:b/>
        </w:rPr>
        <w:t>nelle</w:t>
      </w:r>
      <w:r w:rsidR="00024CBD" w:rsidRPr="00CC0179">
        <w:rPr>
          <w:rFonts w:ascii="Calibri"/>
          <w:b/>
          <w:spacing w:val="7"/>
        </w:rPr>
        <w:t xml:space="preserve"> </w:t>
      </w:r>
      <w:r w:rsidR="00024CBD" w:rsidRPr="00CC0179">
        <w:rPr>
          <w:rFonts w:ascii="Calibri"/>
          <w:b/>
        </w:rPr>
        <w:t xml:space="preserve">aree diverse </w:t>
      </w:r>
      <w:r w:rsidR="00024CBD" w:rsidRPr="00CC0179">
        <w:rPr>
          <w:rFonts w:ascii="Calibri"/>
          <w:b/>
          <w:spacing w:val="-5"/>
        </w:rPr>
        <w:t xml:space="preserve">da </w:t>
      </w:r>
      <w:r w:rsidR="00024CBD" w:rsidRPr="00CC0179">
        <w:rPr>
          <w:rFonts w:ascii="Calibri"/>
          <w:b/>
        </w:rPr>
        <w:t>quelle</w:t>
      </w:r>
      <w:r w:rsidR="00024CBD" w:rsidRPr="00CC0179">
        <w:rPr>
          <w:rFonts w:ascii="Calibri"/>
          <w:b/>
          <w:spacing w:val="39"/>
        </w:rPr>
        <w:t xml:space="preserve"> </w:t>
      </w:r>
      <w:r w:rsidR="00024CBD" w:rsidRPr="00CC0179">
        <w:rPr>
          <w:rFonts w:ascii="Calibri"/>
          <w:b/>
          <w:spacing w:val="-2"/>
        </w:rPr>
        <w:t xml:space="preserve">urbane </w:t>
      </w:r>
      <w:r w:rsidR="00024CBD" w:rsidRPr="0070093D">
        <w:t>Sub-azione</w:t>
      </w:r>
      <w:r w:rsidR="00024CBD" w:rsidRPr="00CC0179">
        <w:rPr>
          <w:spacing w:val="11"/>
        </w:rPr>
        <w:t xml:space="preserve"> </w:t>
      </w:r>
      <w:r w:rsidR="00024CBD" w:rsidRPr="00CC0179">
        <w:rPr>
          <w:b/>
        </w:rPr>
        <w:t>5.2.1.1</w:t>
      </w:r>
      <w:r w:rsidR="00CC0179" w:rsidRPr="00CC0179">
        <w:rPr>
          <w:b/>
        </w:rPr>
        <w:t>8</w:t>
      </w:r>
      <w:r w:rsidR="00024CBD" w:rsidRPr="00CC0179">
        <w:rPr>
          <w:b/>
          <w:spacing w:val="8"/>
        </w:rPr>
        <w:t xml:space="preserve"> </w:t>
      </w:r>
      <w:r w:rsidR="00024CBD" w:rsidRPr="00CC0179">
        <w:rPr>
          <w:b/>
          <w:color w:val="1F3762"/>
        </w:rPr>
        <w:t>-</w:t>
      </w:r>
      <w:r w:rsidR="00024CBD" w:rsidRPr="00CC0179">
        <w:rPr>
          <w:b/>
          <w:color w:val="1F3762"/>
          <w:spacing w:val="39"/>
        </w:rPr>
        <w:t xml:space="preserve"> </w:t>
      </w:r>
      <w:r w:rsidR="00CC0179" w:rsidRPr="00CC0179">
        <w:rPr>
          <w:b/>
        </w:rPr>
        <w:t>Interventi per: i) la riqualificazione e il potenziamento di spazi o strutture</w:t>
      </w:r>
      <w:r w:rsidR="00CC0179" w:rsidRPr="00CC0179">
        <w:rPr>
          <w:b/>
        </w:rPr>
        <w:t xml:space="preserve"> </w:t>
      </w:r>
      <w:r w:rsidR="00CC0179" w:rsidRPr="00CC0179">
        <w:rPr>
          <w:b/>
        </w:rPr>
        <w:t>pubblici a servizio del tessuto produttivo locale; ii) la qualificazione, valorizzazione e rigenerazione del patrimonio identitario per lo sviluppo complessivo dei sistemi territoriali, anche nei borghi e nei centri storici, attraverso interventi per la riqualificazione degli spazi aperti</w:t>
      </w:r>
      <w:r w:rsidR="00CC0179" w:rsidRPr="00CC0179">
        <w:rPr>
          <w:b/>
        </w:rPr>
        <w:t xml:space="preserve"> </w:t>
      </w:r>
      <w:r w:rsidR="00CC0179" w:rsidRPr="00CC0179">
        <w:rPr>
          <w:b/>
        </w:rPr>
        <w:t>(es: piazze, spazi pubblici e sportivi, creazione aree e attrezzature collettive)</w:t>
      </w:r>
      <w:r w:rsidRPr="00CC0179">
        <w:rPr>
          <w:rFonts w:eastAsia="Times New Roman" w:cstheme="minorHAnsi"/>
          <w:kern w:val="0"/>
          <w:lang w:eastAsia="it-IT"/>
          <w14:ligatures w14:val="none"/>
        </w:rPr>
        <w:t xml:space="preserve">, previsto nel “Programma degli interventi” approvato dall’Autorità </w:t>
      </w:r>
      <w:r w:rsidR="00B91906" w:rsidRPr="00CC0179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C0179">
        <w:rPr>
          <w:rFonts w:eastAsia="Times New Roman" w:cstheme="minorHAnsi"/>
          <w:kern w:val="0"/>
          <w:lang w:eastAsia="it-IT"/>
          <w14:ligatures w14:val="none"/>
        </w:rPr>
        <w:t xml:space="preserve"> con </w:t>
      </w:r>
      <w:r w:rsidR="002F3BF6" w:rsidRPr="00CC0179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024CBD" w:rsidRPr="00CC0179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 </w:t>
      </w:r>
      <w:r w:rsidRPr="00CC0179">
        <w:rPr>
          <w:rFonts w:eastAsia="Times New Roman" w:cstheme="minorHAnsi"/>
          <w:kern w:val="0"/>
          <w:lang w:eastAsia="it-IT"/>
          <w14:ligatures w14:val="none"/>
        </w:rPr>
        <w:t xml:space="preserve">è presente l’operazione </w:t>
      </w:r>
      <w:r w:rsidR="008450E9" w:rsidRPr="00CC0179">
        <w:rPr>
          <w:rFonts w:cstheme="minorHAnsi"/>
          <w:b/>
          <w:u w:val="single"/>
          <w:lang w:eastAsia="it-IT"/>
        </w:rPr>
        <w:t xml:space="preserve">nr. 18 </w:t>
      </w:r>
      <w:r w:rsidR="002B2CAB" w:rsidRPr="00CC0179">
        <w:rPr>
          <w:rFonts w:cstheme="minorHAnsi"/>
          <w:b/>
          <w:bCs/>
          <w:iCs/>
          <w:u w:val="single"/>
          <w:lang w:eastAsia="it-IT"/>
        </w:rPr>
        <w:t xml:space="preserve">Miglioramento della qualità del decoro urbano, del tessuto sociale e ambiente, mediante la riqualificazione della Piazza Falcone e Borsellino sita </w:t>
      </w:r>
      <w:r w:rsidR="002B2CAB" w:rsidRPr="00CC0179">
        <w:rPr>
          <w:rFonts w:cstheme="minorHAnsi"/>
          <w:b/>
          <w:bCs/>
          <w:iCs/>
          <w:u w:val="single"/>
          <w:lang w:eastAsia="it-IT"/>
        </w:rPr>
        <w:lastRenderedPageBreak/>
        <w:t xml:space="preserve">su Via dei Mille della frazione Rocchenere quali spazi pubblici di aggregazione </w:t>
      </w:r>
      <w:r w:rsidR="008450E9" w:rsidRPr="00CC0179">
        <w:rPr>
          <w:rFonts w:cstheme="minorHAnsi"/>
          <w:lang w:eastAsia="it-IT"/>
        </w:rPr>
        <w:t xml:space="preserve"> </w:t>
      </w:r>
      <w:r w:rsidRPr="00CC0179">
        <w:rPr>
          <w:rFonts w:eastAsia="Times New Roman" w:cstheme="minorHAnsi"/>
          <w:kern w:val="0"/>
          <w:lang w:eastAsia="it-IT"/>
          <w14:ligatures w14:val="none"/>
        </w:rPr>
        <w:t>dell’importo di €</w:t>
      </w:r>
      <w:r w:rsidR="00180F01" w:rsidRPr="00CC0179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80F01" w:rsidRPr="00CC0179">
        <w:rPr>
          <w:rFonts w:eastAsia="Times New Roman" w:cstheme="minorHAnsi"/>
          <w:b/>
          <w:kern w:val="0"/>
          <w:lang w:eastAsia="it-IT"/>
          <w14:ligatures w14:val="none"/>
        </w:rPr>
        <w:t>330.000,00</w:t>
      </w:r>
      <w:r w:rsidRPr="00CC0179">
        <w:rPr>
          <w:rFonts w:eastAsia="Times New Roman" w:cstheme="minorHAnsi"/>
          <w:b/>
          <w:kern w:val="0"/>
          <w:lang w:eastAsia="it-IT"/>
          <w14:ligatures w14:val="none"/>
        </w:rPr>
        <w:t>;</w:t>
      </w:r>
      <w:r w:rsidRPr="00CC0179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3BD1963D" w14:textId="77777777" w:rsidR="00941D98" w:rsidRPr="00C65287" w:rsidRDefault="000D679B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La metodologia generale per la selezione delle operazioni deve assicurare il rispetto dei principi </w:t>
      </w:r>
      <w:r w:rsidR="00941D98" w:rsidRPr="00C65287">
        <w:rPr>
          <w:rFonts w:cstheme="minorHAnsi"/>
        </w:rPr>
        <w:t>indicati dal paragrafo 1 dell’art. 73 del RDC nonché dai requisiti di Ricevibilità e ammissibilità delle operazioni e alla verifica del rispetto del principio del DNSH (cfr. allegati 4 e 4 bis del Vademecum</w:t>
      </w:r>
      <w:r w:rsidR="000C4BB3" w:rsidRPr="00C65287">
        <w:rPr>
          <w:rFonts w:cstheme="minorHAnsi"/>
        </w:rPr>
        <w:t xml:space="preserve">, </w:t>
      </w:r>
      <w:proofErr w:type="spellStart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. 4 -Verifica del rispetto del principio DNSH PR FESR 2021 – 2027</w:t>
      </w:r>
      <w:r w:rsidR="00941D98" w:rsidRPr="00C65287">
        <w:rPr>
          <w:rFonts w:cstheme="minorHAnsi"/>
        </w:rPr>
        <w:t>);</w:t>
      </w:r>
    </w:p>
    <w:p w14:paraId="727D7C60" w14:textId="5A662358" w:rsidR="00941D98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Lo scrivente Ufficio Comune dell’Autorità </w:t>
      </w:r>
      <w:r w:rsidR="00B91906">
        <w:rPr>
          <w:rFonts w:cstheme="minorHAnsi"/>
        </w:rPr>
        <w:t>Territoriale</w:t>
      </w:r>
      <w:r w:rsidRPr="00C65287">
        <w:rPr>
          <w:rFonts w:cstheme="minorHAnsi"/>
        </w:rPr>
        <w:t>, responsabile della selezione delle operazioni,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coerenti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con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le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Azioni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declinate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nella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ST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PR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FESR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2021 -2027, allega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 xml:space="preserve">alla presente lettera di invito: </w:t>
      </w:r>
    </w:p>
    <w:p w14:paraId="53195407" w14:textId="0C885296" w:rsidR="00941D98" w:rsidRPr="00C65287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C77B2A">
        <w:rPr>
          <w:rFonts w:cstheme="minorHAnsi"/>
          <w:b/>
          <w:bCs/>
        </w:rPr>
        <w:t>Scheda Attuativa</w:t>
      </w:r>
      <w:r w:rsidRPr="00C65287">
        <w:rPr>
          <w:rFonts w:cstheme="minorHAnsi"/>
        </w:rPr>
        <w:t xml:space="preserve"> dell’Azione </w:t>
      </w:r>
      <w:r w:rsidR="00024CBD" w:rsidRPr="00024CBD">
        <w:rPr>
          <w:rFonts w:cstheme="minorHAnsi"/>
          <w:b/>
        </w:rPr>
        <w:t>5.2.1.1</w:t>
      </w:r>
      <w:r w:rsidR="002B2CAB">
        <w:rPr>
          <w:rFonts w:cstheme="minorHAnsi"/>
          <w:b/>
        </w:rPr>
        <w:t>8</w:t>
      </w:r>
      <w:r w:rsidR="00024CBD" w:rsidRPr="00024CBD">
        <w:rPr>
          <w:rFonts w:cstheme="minorHAnsi"/>
        </w:rPr>
        <w:t xml:space="preserve"> </w:t>
      </w:r>
      <w:r w:rsidRPr="00C65287">
        <w:rPr>
          <w:rFonts w:cstheme="minorHAnsi"/>
        </w:rPr>
        <w:t>contenente la descrizione degli interventi ammissibili, il/i settore/i di intervento di riferimento, i beneficiari, i criteri di ammissibilit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specifici, i criteri di valutazione con i pesi individuati e le modalit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di valutazione; </w:t>
      </w:r>
    </w:p>
    <w:p w14:paraId="0DB972C7" w14:textId="18ECA966" w:rsidR="00941D98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  <w:lang w:eastAsia="it-IT"/>
        </w:rPr>
      </w:pPr>
      <w:r w:rsidRPr="00C65287">
        <w:rPr>
          <w:rFonts w:cstheme="minorHAnsi"/>
          <w:lang w:eastAsia="it-IT"/>
        </w:rPr>
        <w:t>Format “</w:t>
      </w:r>
      <w:r w:rsidRPr="00C77B2A">
        <w:rPr>
          <w:rFonts w:cstheme="minorHAnsi"/>
          <w:b/>
          <w:bCs/>
          <w:lang w:eastAsia="it-IT"/>
        </w:rPr>
        <w:t>Scheda Operazione</w:t>
      </w:r>
      <w:r w:rsidRPr="00C65287">
        <w:rPr>
          <w:rFonts w:cstheme="minorHAnsi"/>
          <w:lang w:eastAsia="it-IT"/>
        </w:rPr>
        <w:t xml:space="preserve">” </w:t>
      </w:r>
      <w:r w:rsidR="00F72F89" w:rsidRPr="00C65287">
        <w:rPr>
          <w:rFonts w:cstheme="minorHAnsi"/>
          <w:lang w:eastAsia="it-IT"/>
        </w:rPr>
        <w:t xml:space="preserve">(Allegato 8 del Vademecum) </w:t>
      </w:r>
      <w:r w:rsidRPr="00C65287">
        <w:rPr>
          <w:rFonts w:cstheme="minorHAnsi"/>
          <w:lang w:eastAsia="it-IT"/>
        </w:rPr>
        <w:t xml:space="preserve">per la definizione delle operazioni da selezionare a valere sul PR FESR 2021 – 2027 da compilare da parte del beneficiario al fine di fornire le informazioni di dettaglio – contenutistiche, procedurali e finanziarie – </w:t>
      </w:r>
      <w:r w:rsidRPr="00B91906">
        <w:rPr>
          <w:rFonts w:cstheme="minorHAnsi"/>
          <w:lang w:eastAsia="it-IT"/>
        </w:rPr>
        <w:t xml:space="preserve">dell’operazione; </w:t>
      </w:r>
    </w:p>
    <w:p w14:paraId="1E74F4CB" w14:textId="4F4930A3" w:rsidR="00C33A0D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di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 xml:space="preserve"> (Allegato 7 del Vademecum)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7DFC194" w14:textId="447C1341" w:rsidR="005A162C" w:rsidRPr="00B91906" w:rsidRDefault="00941D98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</w:t>
      </w:r>
      <w:r w:rsidR="00B91906" w:rsidRPr="00B91906">
        <w:rPr>
          <w:rFonts w:eastAsia="Times New Roman" w:cstheme="minorHAnsi"/>
          <w:kern w:val="0"/>
          <w:lang w:eastAsia="it-IT"/>
          <w14:ligatures w14:val="none"/>
        </w:rPr>
        <w:t xml:space="preserve">del </w:t>
      </w:r>
      <w:r w:rsidR="00B91906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documento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 attestazione del possesso dei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requisiti di ammissibilità generale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2E11F63A" w14:textId="570C0FDB" w:rsidR="005432D9" w:rsidRPr="00B91906" w:rsidRDefault="005432D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del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documento di attestazione del possesso dei requisiti specifici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9748FE" w:rsidRPr="00B91906">
        <w:rPr>
          <w:rFonts w:cstheme="minorHAnsi"/>
        </w:rPr>
        <w:t xml:space="preserve">dell’Azione </w:t>
      </w:r>
      <w:r w:rsidR="00024CBD" w:rsidRPr="00024CBD">
        <w:rPr>
          <w:rFonts w:cstheme="minorHAnsi"/>
          <w:b/>
        </w:rPr>
        <w:t>5.2.1.1</w:t>
      </w:r>
      <w:r w:rsidR="002B2CAB">
        <w:rPr>
          <w:rFonts w:cstheme="minorHAnsi"/>
          <w:b/>
        </w:rPr>
        <w:t>8</w:t>
      </w:r>
      <w:r w:rsidR="009748FE" w:rsidRPr="00B91906">
        <w:rPr>
          <w:rFonts w:cstheme="minorHAnsi"/>
          <w:color w:val="FF0000"/>
        </w:rPr>
        <w:t xml:space="preserve"> </w:t>
      </w:r>
      <w:r w:rsidR="009748FE" w:rsidRPr="00B91906">
        <w:rPr>
          <w:rFonts w:cstheme="minorHAnsi"/>
        </w:rPr>
        <w:t>a cui l’operazione afferisce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021FD00A" w14:textId="0B4B674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Modello per l’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autodichiarazione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97CAF41" w14:textId="2BFDEFBA" w:rsidR="00E53157" w:rsidRPr="00B91906" w:rsidRDefault="00E53157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1" w:name="_Hlk192244177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le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verifiche preliminari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a cura del</w:t>
      </w:r>
      <w:r w:rsidR="00AF2C47" w:rsidRPr="00B91906">
        <w:rPr>
          <w:rFonts w:eastAsia="Times New Roman" w:cstheme="minorHAnsi"/>
          <w:kern w:val="0"/>
          <w:lang w:eastAsia="it-IT"/>
          <w14:ligatures w14:val="none"/>
        </w:rPr>
        <w:t>l’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Ufficio Comune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così come da allegato 4bis al Vademecum</w:t>
      </w:r>
      <w:bookmarkEnd w:id="1"/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5F5C1D1E" w14:textId="57203F7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C77B2A">
        <w:rPr>
          <w:rFonts w:cstheme="minorHAnsi"/>
          <w:b/>
          <w:bCs/>
          <w:lang w:eastAsia="it-IT"/>
        </w:rPr>
        <w:t>Scheda di autovalutazione</w:t>
      </w:r>
      <w:r w:rsidRPr="00B91906">
        <w:rPr>
          <w:rFonts w:cstheme="minorHAnsi"/>
          <w:lang w:eastAsia="it-IT"/>
        </w:rPr>
        <w:t xml:space="preserve"> non vincolante per la Commissione di valutazione;</w:t>
      </w:r>
    </w:p>
    <w:p w14:paraId="6BD5E3D5" w14:textId="3D25DE55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ai sensi del DPR n. 445/2000, di </w:t>
      </w:r>
      <w:r w:rsidRPr="00C77B2A">
        <w:rPr>
          <w:rFonts w:cstheme="minorHAnsi"/>
          <w:b/>
          <w:bCs/>
          <w:lang w:eastAsia="it-IT"/>
        </w:rPr>
        <w:t xml:space="preserve">presa visione della lettera di invito </w:t>
      </w:r>
      <w:r w:rsidRPr="00B91906">
        <w:rPr>
          <w:rFonts w:cstheme="minorHAnsi"/>
          <w:lang w:eastAsia="it-IT"/>
        </w:rPr>
        <w:t xml:space="preserve">e dei relativi allegati, del Vademecum per la selezione delle operazioni da parte delle Autorità </w:t>
      </w:r>
      <w:r w:rsidR="00B91906" w:rsidRPr="00B91906">
        <w:rPr>
          <w:rFonts w:cstheme="minorHAnsi"/>
          <w:lang w:eastAsia="it-IT"/>
        </w:rPr>
        <w:t>Territoriali</w:t>
      </w:r>
      <w:r w:rsidRPr="00B91906">
        <w:rPr>
          <w:rFonts w:cstheme="minorHAnsi"/>
          <w:lang w:eastAsia="it-IT"/>
        </w:rPr>
        <w:t xml:space="preserve"> a valere sul PR FESR 2021 – 2027 e di accettazione incondizionata delle relative previsioni e disposizioni;</w:t>
      </w:r>
    </w:p>
    <w:p w14:paraId="07925DB7" w14:textId="4640ECC1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1521E85C" w14:textId="7F8B0110" w:rsidR="000C4BB3" w:rsidRPr="00D24368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D24368">
        <w:rPr>
          <w:rFonts w:cstheme="minorHAnsi"/>
          <w:lang w:eastAsia="it-IT"/>
        </w:rPr>
        <w:t xml:space="preserve">Format 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</w:t>
      </w:r>
      <w:r w:rsidR="00FF61F2" w:rsidRPr="00D24368">
        <w:rPr>
          <w:rFonts w:cstheme="minorHAnsi"/>
          <w:lang w:eastAsia="it-IT"/>
        </w:rPr>
        <w:t>;</w:t>
      </w:r>
    </w:p>
    <w:p w14:paraId="50DBD1B6" w14:textId="77777777" w:rsidR="00C33A0D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Beneficiario è tenuto, pertanto, a presentare: </w:t>
      </w:r>
    </w:p>
    <w:p w14:paraId="1C09071D" w14:textId="4343BF8F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 dell’operazione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debitamente compilata e sottoscritta dal Legale rappresentante dell’Ente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7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2162AEC4" w14:textId="1918ABB1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lastRenderedPageBreak/>
        <w:t>“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Scheda 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per la definizione delle operazioni da selezionare a valere sul PR FESR 2021 – 2027 debitamente compilata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8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61D756C3" w14:textId="627F5780" w:rsidR="009748FE" w:rsidRPr="00406A8A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Documentazione attestante il possesso dei seguenti requisiti di ammissibilit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generale di cui al documento “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Metodologia e criteri di selezione delle operazioni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approvato con DGR 195 del </w:t>
      </w: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18.05.2023 di seguito rappresentati: </w:t>
      </w:r>
    </w:p>
    <w:p w14:paraId="1D287492" w14:textId="1D355647" w:rsidR="009748FE" w:rsidRPr="00406A8A" w:rsidRDefault="00406A8A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Documento 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 xml:space="preserve">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di ammissibilità generale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40CD6F0" w14:textId="45D60C55" w:rsidR="005A162C" w:rsidRPr="00B91906" w:rsidRDefault="00B91906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 xml:space="preserve">ocumento 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specifici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B9E7D1E" w14:textId="07F91C0B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Autodichiarazione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A32D020" w14:textId="7AB58CF6" w:rsidR="004D3333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Documentazione di progetto coerente con il livello di progettazione di cui all’articolo 41 del </w:t>
      </w:r>
      <w:proofErr w:type="spellStart"/>
      <w:r w:rsidRPr="00B91906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36/2023 – così come dichiarato nella Scheda Operazione – e relativo provvedimento di approvazione tecnico e/o amministrativo da parte dell’Ente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D3333" w:rsidRPr="00B91906">
        <w:rPr>
          <w:rFonts w:eastAsia="Times New Roman" w:cstheme="minorHAnsi"/>
          <w:kern w:val="0"/>
          <w:lang w:eastAsia="it-IT"/>
          <w14:ligatures w14:val="none"/>
        </w:rPr>
        <w:t>nonché dei seguenti ulteriori allegati:</w:t>
      </w:r>
    </w:p>
    <w:p w14:paraId="4A672893" w14:textId="485F449B" w:rsidR="000C4BB3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elaborati che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dimostri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no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il </w:t>
      </w:r>
      <w:r w:rsidR="00F17741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rispetto de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 C.A.M. specifici per tipologia di intervento</w:t>
      </w:r>
      <w:r w:rsidR="00691EF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91EF7" w:rsidRPr="00FF03DF">
        <w:rPr>
          <w:rFonts w:cstheme="minorHAnsi"/>
          <w:lang w:eastAsia="it-IT"/>
        </w:rPr>
        <w:t>[laddove previsto]</w:t>
      </w:r>
      <w:r w:rsidR="005A162C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728C7E25" w14:textId="37AD0B18" w:rsidR="005560F5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elaborato che 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faccia riferimento ai </w:t>
      </w:r>
      <w:r w:rsidR="000C4BB3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Potenziali impatti significativi sugli obiettivi DNSH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 i criteri di attuazione e</w:t>
      </w:r>
      <w:r w:rsidR="00F74554"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eventuali misure di mitigazione degli impatti significativi riferiti all’Azione del PR FESR 2021 – 2027 a cui l’operazione afferisce (cfr. </w:t>
      </w:r>
      <w:proofErr w:type="spellStart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. 4 -</w:t>
      </w:r>
      <w:r w:rsidR="00C85804" w:rsidRPr="00B91906">
        <w:rPr>
          <w:rFonts w:eastAsia="Times New Roman" w:cstheme="minorHAnsi"/>
          <w:kern w:val="0"/>
          <w:lang w:eastAsia="it-IT"/>
          <w14:ligatures w14:val="none"/>
        </w:rPr>
        <w:t xml:space="preserve"> Verifica del rispetto del principio DNSH PR FESR 2021 – 2027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)</w:t>
      </w:r>
      <w:r w:rsidR="005560F5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2D03D1E" w14:textId="048F72FC" w:rsidR="004D3333" w:rsidRPr="00B91906" w:rsidRDefault="005560F5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cronoprogramma di spesa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0C5078" w:rsidRPr="00B91906">
        <w:rPr>
          <w:rFonts w:eastAsia="Times New Roman" w:cstheme="minorHAnsi"/>
          <w:kern w:val="0"/>
          <w:lang w:eastAsia="it-IT"/>
          <w14:ligatures w14:val="none"/>
        </w:rPr>
        <w:t xml:space="preserve"> oggetto di valutazione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.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59C55C1F" w14:textId="17D1A317" w:rsidR="00F72F89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Dichiarazione,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ai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sensi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del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DPR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n.445/2000, di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presa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visione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della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lettera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invito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e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dei relativi allegati, del 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 di accettazione incondizionata delle relative previsioni e disposizioni. </w:t>
      </w:r>
    </w:p>
    <w:p w14:paraId="036C0242" w14:textId="05362514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619F4E27" w14:textId="09391F40" w:rsidR="00F72F89" w:rsidRPr="00D24368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2021/1060.</w:t>
      </w:r>
    </w:p>
    <w:p w14:paraId="62AFF67B" w14:textId="1888D0FD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>Dichiarazione, resa nella forma dell’autocertificazione, ai sensi del D.P.R. n. 445/2000, del rispetto dell’adempimento agli obblighi di monitoraggio.</w:t>
      </w:r>
    </w:p>
    <w:p w14:paraId="63796CA1" w14:textId="2ED7E377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La scheda di autovalutazione in formato </w:t>
      </w:r>
      <w:proofErr w:type="spellStart"/>
      <w:r>
        <w:rPr>
          <w:rFonts w:eastAsia="Times New Roman" w:cstheme="minorHAnsi"/>
          <w:kern w:val="0"/>
          <w:lang w:eastAsia="it-IT"/>
          <w14:ligatures w14:val="none"/>
        </w:rPr>
        <w:t>excel</w:t>
      </w:r>
      <w:proofErr w:type="spellEnd"/>
      <w:r>
        <w:rPr>
          <w:rFonts w:eastAsia="Times New Roman" w:cstheme="minorHAnsi"/>
          <w:kern w:val="0"/>
          <w:lang w:eastAsia="it-IT"/>
          <w14:ligatures w14:val="none"/>
        </w:rPr>
        <w:t xml:space="preserve"> (che non vincola l’ufficio comune nella valutazione dell’intervento ma che costituisce un supporto allo stesso nelle operazioni istruttorie) va trasmessa insieme ad una relazione sottoscritta dal RUP dell’intervento che argomenti e motivi l’assegnazione dei punti per ogni singolo criterio di valutazione.</w:t>
      </w:r>
    </w:p>
    <w:p w14:paraId="37862681" w14:textId="77777777" w:rsidR="00F17741" w:rsidRPr="00D24368" w:rsidRDefault="00F17741" w:rsidP="00C77B2A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kern w:val="0"/>
          <w:u w:val="single"/>
          <w:lang w:eastAsia="it-IT"/>
          <w14:ligatures w14:val="none"/>
        </w:rPr>
      </w:pPr>
      <w:r w:rsidRPr="00D24368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t>Nel caso in cui la documentazione di progetto risulti di notevoli dimensioni e non sia possibile la trasmissione di tutti gli elaborati tramite PEC, nel corpo della PEC potrà essere indicato il link dal quale potere scaricare i files.</w:t>
      </w:r>
    </w:p>
    <w:p w14:paraId="307FF1C4" w14:textId="0649427A" w:rsidR="005A162C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La domanda di ammissione a selezione 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dovra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inoltrata esclusivamente mediante posta elettronica certificata all’indirizzo: </w:t>
      </w:r>
      <w:r w:rsidR="002F3BF6">
        <w:rPr>
          <w:rFonts w:eastAsia="Times New Roman" w:cstheme="minorHAnsi"/>
          <w:b/>
          <w:kern w:val="0"/>
          <w:lang w:eastAsia="it-IT"/>
          <w14:ligatures w14:val="none"/>
        </w:rPr>
        <w:t>comunesantateresadiriva@pec.it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completa della documentazione richiesta, e </w:t>
      </w:r>
      <w:r w:rsidR="00C65287" w:rsidRPr="00C65287">
        <w:rPr>
          <w:rFonts w:eastAsia="Times New Roman" w:cstheme="minorHAnsi"/>
          <w:kern w:val="0"/>
          <w:lang w:eastAsia="it-IT"/>
          <w14:ligatures w14:val="none"/>
        </w:rPr>
        <w:t>dovrà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firmata digitalmente dal Legale rappresentante 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8450E9" w:rsidRPr="008450E9">
        <w:rPr>
          <w:rFonts w:eastAsia="Times New Roman" w:cstheme="minorHAnsi"/>
          <w:b/>
          <w:kern w:val="0"/>
          <w:lang w:eastAsia="it-IT"/>
          <w14:ligatures w14:val="none"/>
        </w:rPr>
        <w:t>Pagliara;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</w:p>
    <w:p w14:paraId="376AA9F2" w14:textId="0DFFF77C" w:rsidR="00F17741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è resa nella forma dell’autocertificazione, ai sensi </w:t>
      </w:r>
      <w:r w:rsidRPr="00C65287">
        <w:rPr>
          <w:rFonts w:cstheme="minorHAnsi"/>
          <w:lang w:eastAsia="it-IT"/>
        </w:rPr>
        <w:t>del D.P.R. n. 445/2000 e con le responsabilit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previste dagli artt. 75 e 76 dello stesso Decreto in conformit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al format “Domanda di ammissione” allegat</w:t>
      </w:r>
      <w:r w:rsidR="00540043">
        <w:rPr>
          <w:rFonts w:cstheme="minorHAnsi"/>
          <w:lang w:eastAsia="it-IT"/>
        </w:rPr>
        <w:t xml:space="preserve">o </w:t>
      </w:r>
      <w:r w:rsidR="00E04225">
        <w:rPr>
          <w:rFonts w:cstheme="minorHAnsi"/>
          <w:lang w:eastAsia="it-IT"/>
        </w:rPr>
        <w:t xml:space="preserve">7 </w:t>
      </w:r>
      <w:r w:rsidRPr="00C65287">
        <w:rPr>
          <w:rFonts w:cstheme="minorHAnsi"/>
          <w:lang w:eastAsia="it-IT"/>
        </w:rPr>
        <w:t>alla presente;</w:t>
      </w:r>
    </w:p>
    <w:p w14:paraId="1206762B" w14:textId="7B5400B0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>La domanda dovr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pervenire entro e non oltre </w:t>
      </w:r>
      <w:r w:rsidR="00772DAF">
        <w:rPr>
          <w:rFonts w:cstheme="minorHAnsi"/>
          <w:kern w:val="0"/>
          <w:lang w:eastAsia="it-IT"/>
          <w14:ligatures w14:val="none"/>
        </w:rPr>
        <w:t xml:space="preserve">le </w:t>
      </w:r>
      <w:r w:rsidR="00772DAF">
        <w:rPr>
          <w:rFonts w:cstheme="minorHAnsi"/>
          <w:b/>
          <w:kern w:val="0"/>
          <w:lang w:eastAsia="it-IT"/>
          <w14:ligatures w14:val="none"/>
        </w:rPr>
        <w:t>23.59 del 19.06.2025</w:t>
      </w:r>
      <w:r w:rsidRPr="00C65287">
        <w:rPr>
          <w:rFonts w:cstheme="minorHAnsi"/>
          <w:lang w:eastAsia="it-IT"/>
        </w:rPr>
        <w:t>. Ad essa sar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attribuito un numero di protocollo identificativo progressivo, di riferimento univoco per l’intera fase di selezione</w:t>
      </w:r>
      <w:r w:rsidR="00E95630" w:rsidRPr="00C65287">
        <w:rPr>
          <w:rFonts w:cstheme="minorHAnsi"/>
          <w:lang w:eastAsia="it-IT"/>
        </w:rPr>
        <w:t>;</w:t>
      </w:r>
      <w:r w:rsidRPr="00C65287">
        <w:rPr>
          <w:rFonts w:cstheme="minorHAnsi"/>
          <w:lang w:eastAsia="it-IT"/>
        </w:rPr>
        <w:t xml:space="preserve"> </w:t>
      </w:r>
    </w:p>
    <w:p w14:paraId="1CF00D84" w14:textId="529FBAFA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Lo scrivente Ufficio Comune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proceder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quindi, alla ricevibilit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ammissibilit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(generale e specifica) e valutazione dell’operazione. </w:t>
      </w:r>
    </w:p>
    <w:p w14:paraId="404335C7" w14:textId="0102A89D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responsabile del procedimento ai sensi della L. 241/90 e della L.R. 5/2011 è </w:t>
      </w:r>
      <w:proofErr w:type="spellStart"/>
      <w:r w:rsidR="00F3660A">
        <w:rPr>
          <w:rFonts w:eastAsia="Times New Roman" w:cstheme="minorHAnsi"/>
          <w:b/>
          <w:kern w:val="0"/>
          <w:lang w:eastAsia="it-IT"/>
          <w14:ligatures w14:val="none"/>
        </w:rPr>
        <w:t>l’</w:t>
      </w:r>
      <w:r w:rsidR="00F3660A" w:rsidRPr="005C5F70">
        <w:rPr>
          <w:rFonts w:eastAsia="Times New Roman" w:cstheme="minorHAnsi"/>
          <w:b/>
          <w:kern w:val="0"/>
          <w:lang w:eastAsia="it-IT"/>
          <w14:ligatures w14:val="none"/>
        </w:rPr>
        <w:t>Ing</w:t>
      </w:r>
      <w:proofErr w:type="spellEnd"/>
      <w:r w:rsidR="00F3660A" w:rsidRPr="005C5F70">
        <w:rPr>
          <w:rFonts w:eastAsia="Times New Roman" w:cstheme="minorHAnsi"/>
          <w:b/>
          <w:kern w:val="0"/>
          <w:lang w:eastAsia="it-IT"/>
          <w14:ligatures w14:val="none"/>
        </w:rPr>
        <w:t>. Domenico Musiano</w:t>
      </w:r>
      <w:r w:rsidR="005A162C"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72EF4D" w14:textId="1F2DE1D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procedura di valutazione dell’operazione è </w:t>
      </w:r>
      <w:r w:rsidR="004A77F4">
        <w:rPr>
          <w:rFonts w:eastAsia="Times New Roman" w:cstheme="minorHAnsi"/>
          <w:kern w:val="0"/>
          <w:lang w:eastAsia="it-IT"/>
          <w14:ligatures w14:val="none"/>
        </w:rPr>
        <w:t>affidata all’ufficio comune che verificata l’ammissibilità formale fondata sulla completezza e correttezza degli allegati previsti valuterà i singoli interventi ai fini dell’ammissibilità al finanziamento sulla scorta dell’applicazione dei criteri di valutazione previsti dalla scheda attuativa così come riportato nel successivo punto 17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535F45" w14:textId="4CFA38C1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procedura di valutazione terrà conto dei criteri, sub-criteri e criteri premiali riportati nella scheda attuativa dell’Azione</w:t>
      </w:r>
      <w:r w:rsidR="00540043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– sub-azione di riferimento del PR FESR 2021 – 2027 e riportata nel “Vademecum per la selezione delle operazioni da parte delle 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valere sul PR FESR 2021 – 2027” approvato con D.D.G. n. 777 del 14.11.2024 e successive modifiche e integrazioni;</w:t>
      </w:r>
    </w:p>
    <w:p w14:paraId="327AD579" w14:textId="3107A079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Ai fini dell’ammissione a finanziamento l’operazione dovrà raggiungere un punteggio minimo pari a </w:t>
      </w:r>
      <w:r w:rsidR="00EC1562" w:rsidRPr="00EC1562">
        <w:rPr>
          <w:rFonts w:eastAsia="Times New Roman" w:cstheme="minorHAnsi"/>
          <w:kern w:val="0"/>
          <w:lang w:eastAsia="it-IT"/>
          <w14:ligatures w14:val="none"/>
        </w:rPr>
        <w:t>60</w:t>
      </w:r>
      <w:r w:rsidRPr="00EC1562">
        <w:rPr>
          <w:rFonts w:eastAsia="Times New Roman" w:cstheme="minorHAnsi"/>
          <w:kern w:val="0"/>
          <w:lang w:eastAsia="it-IT"/>
          <w14:ligatures w14:val="none"/>
        </w:rPr>
        <w:t>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C1562">
        <w:rPr>
          <w:rFonts w:eastAsia="Times New Roman" w:cstheme="minorHAnsi"/>
          <w:b/>
          <w:color w:val="000000" w:themeColor="text1"/>
          <w:kern w:val="0"/>
          <w:u w:val="single"/>
          <w:lang w:eastAsia="it-IT"/>
          <w14:ligatures w14:val="none"/>
        </w:rPr>
        <w:t>i punteggi attribuiti in applicazione degli eventuali criteri premiali non concorrono al raggiungimento del punteggio minimo</w:t>
      </w:r>
      <w:r w:rsidRPr="00C65287"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  <w:t>;</w:t>
      </w:r>
    </w:p>
    <w:p w14:paraId="2D5C6317" w14:textId="36601A8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Avverso il provvedimento inerente al procedimento, il soggetto interessato potr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proporre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ricorso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nelle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modalit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à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dal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Manuale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l’attuazione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del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FESR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2021– 2027; </w:t>
      </w:r>
    </w:p>
    <w:p w14:paraId="4C5244EB" w14:textId="6CB1056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Nel caso in cui l’operazione risulti positivamente selezionata, ma, per insufficienza di risorse finanziarie, la stessa non trovi immediata copertura finanziaria, l’operazione medesima rimane candidabile a finanziamento non appena si renderanno disponibili ulteriori risorse per l’Area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5EB596F3" w14:textId="05413D0E" w:rsidR="00C65287" w:rsidRPr="00C77B2A" w:rsidRDefault="005A162C" w:rsidP="00C77B2A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presente invito e gli esiti della selezione delle operazioni saranno pubblicati sul sito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F3660A" w:rsidRPr="005C5F70">
        <w:rPr>
          <w:b/>
        </w:rPr>
        <w:t>https://www.comune.santateresadiriva.me.it/it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 sul sito www.euroinfosicilia.it. </w:t>
      </w:r>
    </w:p>
    <w:p w14:paraId="02A8BC9F" w14:textId="3B4ACB9C" w:rsidR="00CF6078" w:rsidRPr="00C65287" w:rsidRDefault="005A162C" w:rsidP="00C65287">
      <w:pPr>
        <w:spacing w:before="100" w:beforeAutospacing="1" w:after="100" w:afterAutospacing="1" w:line="276" w:lineRule="auto"/>
        <w:ind w:left="-76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 xml:space="preserve">Si trasmettono, in allegato alla presente, a formarne parte integrante: </w:t>
      </w:r>
    </w:p>
    <w:p w14:paraId="1E58D03E" w14:textId="40B39BA1" w:rsidR="00C85804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di domanda di ammissione a selezione dell’operazione; </w:t>
      </w:r>
    </w:p>
    <w:p w14:paraId="5039A202" w14:textId="73C04C02" w:rsidR="00CF6078" w:rsidRPr="00540043" w:rsidRDefault="005A162C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“Scheda Operazione” per la definizione delle operazioni da selezionare a valere sul PR FESR 2021 – 2027; </w:t>
      </w:r>
    </w:p>
    <w:p w14:paraId="45AAA531" w14:textId="011713B2" w:rsidR="00540043" w:rsidRPr="00540043" w:rsidRDefault="00540043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del documento di attestazione del possesso dei requisiti di ammissibilità generale; </w:t>
      </w:r>
    </w:p>
    <w:p w14:paraId="49BDF3FA" w14:textId="24C8C7ED" w:rsidR="00CF6078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lastRenderedPageBreak/>
        <w:t>Format del documento di attestazione del possesso dei requisiti specifici;</w:t>
      </w:r>
    </w:p>
    <w:p w14:paraId="1745A42D" w14:textId="073CB041" w:rsidR="00C85804" w:rsidRPr="00C77B2A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kern w:val="0"/>
          <w:lang w:eastAsia="it-IT"/>
          <w14:ligatures w14:val="none"/>
        </w:rPr>
        <w:t>Modello per l’autodichiarazione del rispetto del principio DNSH;</w:t>
      </w:r>
    </w:p>
    <w:p w14:paraId="65B80A78" w14:textId="497474F9" w:rsidR="00C85804" w:rsidRPr="00C77B2A" w:rsidRDefault="00C77B2A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2" w:name="_Hlk192244688"/>
      <w:r w:rsidRPr="00C77B2A">
        <w:rPr>
          <w:rFonts w:eastAsia="Times New Roman" w:cstheme="minorHAnsi"/>
          <w:kern w:val="0"/>
          <w:lang w:eastAsia="it-IT"/>
          <w14:ligatures w14:val="none"/>
        </w:rPr>
        <w:t>Verifiche preliminari a cura dell’Ufficio Comune del rispetto del principio DNSH così come da allegato 4bis al Vademecum</w:t>
      </w:r>
      <w:bookmarkEnd w:id="2"/>
      <w:r w:rsidR="00C85804" w:rsidRPr="00C77B2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076794E" w14:textId="2BD21990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Scheda di autovalutazione non vincolante per la Commissione di valutazione;</w:t>
      </w:r>
    </w:p>
    <w:p w14:paraId="3C188BC3" w14:textId="14B1BE41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Format dichiarazione di presa visione della lettera di invito e dei relativi allegati, del Vademecum per la selezione delle operazioni e di accettazione incondizionata delle relative previsioni e disposizioni;</w:t>
      </w:r>
    </w:p>
    <w:p w14:paraId="14B69D4C" w14:textId="01DC7093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Format dichiarazione attestante la posizione dell’ente richiedente in merito al regime IVA;</w:t>
      </w:r>
    </w:p>
    <w:p w14:paraId="3CBD1DD6" w14:textId="00D76A48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del possesso di idonea sostenibilità finanziaria.</w:t>
      </w:r>
    </w:p>
    <w:p w14:paraId="0CA41548" w14:textId="0DD11E09" w:rsidR="00EC1562" w:rsidRPr="00EC1562" w:rsidRDefault="00EC1562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adempimento agli obblighi di monitoraggio;</w:t>
      </w:r>
    </w:p>
    <w:p w14:paraId="3E2E818B" w14:textId="63150C72" w:rsidR="00333890" w:rsidRPr="00EC1562" w:rsidRDefault="00333890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Scheda attuativa relativa all’Azione/sub-azione.</w:t>
      </w:r>
    </w:p>
    <w:p w14:paraId="062CA16D" w14:textId="5939ADC6" w:rsidR="00C65287" w:rsidRDefault="005A162C" w:rsidP="00C65287">
      <w:pPr>
        <w:spacing w:before="100" w:beforeAutospacing="1" w:after="100" w:afterAutospacing="1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Luogo e data</w:t>
      </w:r>
      <w:r w:rsidR="00C65287">
        <w:rPr>
          <w:rFonts w:eastAsia="Times New Roman" w:cstheme="minorHAnsi"/>
          <w:kern w:val="0"/>
          <w:lang w:eastAsia="it-IT"/>
          <w14:ligatures w14:val="none"/>
        </w:rPr>
        <w:t>_______________________</w:t>
      </w:r>
    </w:p>
    <w:p w14:paraId="0B5C85C4" w14:textId="79398F10" w:rsidR="00CF6078" w:rsidRPr="00C65287" w:rsidRDefault="005A162C" w:rsidP="00C65287">
      <w:pPr>
        <w:spacing w:before="100" w:beforeAutospacing="1" w:after="100" w:afterAutospacing="1" w:line="276" w:lineRule="auto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Firma del Responsabile dell’Ufficio Comune </w:t>
      </w:r>
    </w:p>
    <w:sectPr w:rsidR="00CF6078" w:rsidRPr="00C65287" w:rsidSect="00C77B2A">
      <w:headerReference w:type="default" r:id="rId7"/>
      <w:pgSz w:w="11900" w:h="16840"/>
      <w:pgMar w:top="167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19B74" w14:textId="77777777" w:rsidR="002D223D" w:rsidRDefault="002D223D" w:rsidP="00BC2710">
      <w:r>
        <w:separator/>
      </w:r>
    </w:p>
  </w:endnote>
  <w:endnote w:type="continuationSeparator" w:id="0">
    <w:p w14:paraId="59C8D022" w14:textId="77777777" w:rsidR="002D223D" w:rsidRDefault="002D223D" w:rsidP="00BC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59866" w14:textId="77777777" w:rsidR="002D223D" w:rsidRDefault="002D223D" w:rsidP="00BC2710">
      <w:r>
        <w:separator/>
      </w:r>
    </w:p>
  </w:footnote>
  <w:footnote w:type="continuationSeparator" w:id="0">
    <w:p w14:paraId="1CBDC865" w14:textId="77777777" w:rsidR="002D223D" w:rsidRDefault="002D223D" w:rsidP="00BC2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44A4" w14:textId="15007F11" w:rsidR="00BC2710" w:rsidRDefault="00BC2710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F1760C7" wp14:editId="1EBEA9D3">
          <wp:simplePos x="0" y="0"/>
          <wp:positionH relativeFrom="column">
            <wp:posOffset>190500</wp:posOffset>
          </wp:positionH>
          <wp:positionV relativeFrom="paragraph">
            <wp:posOffset>-305435</wp:posOffset>
          </wp:positionV>
          <wp:extent cx="5771769" cy="744854"/>
          <wp:effectExtent l="0" t="0" r="635" b="0"/>
          <wp:wrapNone/>
          <wp:docPr id="11400652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5EF"/>
    <w:multiLevelType w:val="multilevel"/>
    <w:tmpl w:val="3D7A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41EB7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B1842"/>
    <w:multiLevelType w:val="multilevel"/>
    <w:tmpl w:val="474A3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F5B7D"/>
    <w:multiLevelType w:val="multilevel"/>
    <w:tmpl w:val="0B0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3045E"/>
    <w:multiLevelType w:val="multilevel"/>
    <w:tmpl w:val="4078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144298"/>
    <w:multiLevelType w:val="multilevel"/>
    <w:tmpl w:val="24BA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F1944"/>
    <w:multiLevelType w:val="hybridMultilevel"/>
    <w:tmpl w:val="DFB6E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A4479"/>
    <w:multiLevelType w:val="hybridMultilevel"/>
    <w:tmpl w:val="2A18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34FDA"/>
    <w:multiLevelType w:val="multilevel"/>
    <w:tmpl w:val="6BB2F8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C53007"/>
    <w:multiLevelType w:val="hybridMultilevel"/>
    <w:tmpl w:val="E68890E0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B39CF"/>
    <w:multiLevelType w:val="multilevel"/>
    <w:tmpl w:val="190C5B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8422BE"/>
    <w:multiLevelType w:val="multilevel"/>
    <w:tmpl w:val="01043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596537"/>
    <w:multiLevelType w:val="multilevel"/>
    <w:tmpl w:val="97A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2459D3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D43D5D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530CB2"/>
    <w:multiLevelType w:val="hybridMultilevel"/>
    <w:tmpl w:val="670212BE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75975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343EF9"/>
    <w:multiLevelType w:val="hybridMultilevel"/>
    <w:tmpl w:val="43347B7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6A026F9"/>
    <w:multiLevelType w:val="multilevel"/>
    <w:tmpl w:val="D4E605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4A7DF0"/>
    <w:multiLevelType w:val="hybridMultilevel"/>
    <w:tmpl w:val="81122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3244943">
    <w:abstractNumId w:val="21"/>
  </w:num>
  <w:num w:numId="2" w16cid:durableId="578365199">
    <w:abstractNumId w:val="8"/>
  </w:num>
  <w:num w:numId="3" w16cid:durableId="1962153407">
    <w:abstractNumId w:val="3"/>
  </w:num>
  <w:num w:numId="4" w16cid:durableId="1427799119">
    <w:abstractNumId w:val="10"/>
  </w:num>
  <w:num w:numId="5" w16cid:durableId="1848520925">
    <w:abstractNumId w:val="11"/>
  </w:num>
  <w:num w:numId="6" w16cid:durableId="436028727">
    <w:abstractNumId w:val="0"/>
  </w:num>
  <w:num w:numId="7" w16cid:durableId="1363283666">
    <w:abstractNumId w:val="12"/>
  </w:num>
  <w:num w:numId="8" w16cid:durableId="1040252934">
    <w:abstractNumId w:val="5"/>
  </w:num>
  <w:num w:numId="9" w16cid:durableId="778912112">
    <w:abstractNumId w:val="19"/>
  </w:num>
  <w:num w:numId="10" w16cid:durableId="2086799793">
    <w:abstractNumId w:val="16"/>
  </w:num>
  <w:num w:numId="11" w16cid:durableId="951321920">
    <w:abstractNumId w:val="6"/>
  </w:num>
  <w:num w:numId="12" w16cid:durableId="1657225349">
    <w:abstractNumId w:val="7"/>
  </w:num>
  <w:num w:numId="13" w16cid:durableId="2120024773">
    <w:abstractNumId w:val="18"/>
  </w:num>
  <w:num w:numId="14" w16cid:durableId="148905709">
    <w:abstractNumId w:val="20"/>
  </w:num>
  <w:num w:numId="15" w16cid:durableId="1927612497">
    <w:abstractNumId w:val="9"/>
  </w:num>
  <w:num w:numId="16" w16cid:durableId="856429211">
    <w:abstractNumId w:val="13"/>
  </w:num>
  <w:num w:numId="17" w16cid:durableId="1752043269">
    <w:abstractNumId w:val="15"/>
  </w:num>
  <w:num w:numId="18" w16cid:durableId="182596972">
    <w:abstractNumId w:val="4"/>
  </w:num>
  <w:num w:numId="19" w16cid:durableId="1597323122">
    <w:abstractNumId w:val="17"/>
  </w:num>
  <w:num w:numId="20" w16cid:durableId="2022120579">
    <w:abstractNumId w:val="2"/>
  </w:num>
  <w:num w:numId="21" w16cid:durableId="592514797">
    <w:abstractNumId w:val="14"/>
  </w:num>
  <w:num w:numId="22" w16cid:durableId="1080757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62C"/>
    <w:rsid w:val="00024CBD"/>
    <w:rsid w:val="00030874"/>
    <w:rsid w:val="000C4BB3"/>
    <w:rsid w:val="000C5078"/>
    <w:rsid w:val="000D679B"/>
    <w:rsid w:val="00180F01"/>
    <w:rsid w:val="00205DFA"/>
    <w:rsid w:val="002B2CAB"/>
    <w:rsid w:val="002D223D"/>
    <w:rsid w:val="002F3BF6"/>
    <w:rsid w:val="00333890"/>
    <w:rsid w:val="003C41CC"/>
    <w:rsid w:val="004009FA"/>
    <w:rsid w:val="00406A8A"/>
    <w:rsid w:val="00470189"/>
    <w:rsid w:val="004A77F4"/>
    <w:rsid w:val="004D3333"/>
    <w:rsid w:val="00502FC2"/>
    <w:rsid w:val="00540043"/>
    <w:rsid w:val="005432D9"/>
    <w:rsid w:val="005560F5"/>
    <w:rsid w:val="00572229"/>
    <w:rsid w:val="00593473"/>
    <w:rsid w:val="005A162C"/>
    <w:rsid w:val="006036B8"/>
    <w:rsid w:val="00681DED"/>
    <w:rsid w:val="00691EF7"/>
    <w:rsid w:val="006927EE"/>
    <w:rsid w:val="00692D0B"/>
    <w:rsid w:val="006A6016"/>
    <w:rsid w:val="006E6662"/>
    <w:rsid w:val="00772DAF"/>
    <w:rsid w:val="00782E08"/>
    <w:rsid w:val="008450E9"/>
    <w:rsid w:val="00897CF1"/>
    <w:rsid w:val="009106EF"/>
    <w:rsid w:val="00941D98"/>
    <w:rsid w:val="009748FE"/>
    <w:rsid w:val="009F7DA9"/>
    <w:rsid w:val="00A62400"/>
    <w:rsid w:val="00A70B90"/>
    <w:rsid w:val="00A86129"/>
    <w:rsid w:val="00AF2C47"/>
    <w:rsid w:val="00B06DDA"/>
    <w:rsid w:val="00B47AFE"/>
    <w:rsid w:val="00B71B54"/>
    <w:rsid w:val="00B84F5B"/>
    <w:rsid w:val="00B91906"/>
    <w:rsid w:val="00BC2710"/>
    <w:rsid w:val="00C17FE6"/>
    <w:rsid w:val="00C33A0D"/>
    <w:rsid w:val="00C65287"/>
    <w:rsid w:val="00C77B2A"/>
    <w:rsid w:val="00C85804"/>
    <w:rsid w:val="00C87075"/>
    <w:rsid w:val="00CC0179"/>
    <w:rsid w:val="00CD687A"/>
    <w:rsid w:val="00CE7AFE"/>
    <w:rsid w:val="00CF6078"/>
    <w:rsid w:val="00D04CFC"/>
    <w:rsid w:val="00D24368"/>
    <w:rsid w:val="00D8564A"/>
    <w:rsid w:val="00DB00B4"/>
    <w:rsid w:val="00E04225"/>
    <w:rsid w:val="00E13F13"/>
    <w:rsid w:val="00E41C29"/>
    <w:rsid w:val="00E53157"/>
    <w:rsid w:val="00E83BD6"/>
    <w:rsid w:val="00E95630"/>
    <w:rsid w:val="00EC1562"/>
    <w:rsid w:val="00F17741"/>
    <w:rsid w:val="00F3660A"/>
    <w:rsid w:val="00F36B4D"/>
    <w:rsid w:val="00F72F89"/>
    <w:rsid w:val="00F74554"/>
    <w:rsid w:val="00FC283B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193B"/>
  <w15:docId w15:val="{34E18B8D-E5EE-4DCA-B838-9930018C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9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24</cp:revision>
  <dcterms:created xsi:type="dcterms:W3CDTF">2025-02-25T11:32:00Z</dcterms:created>
  <dcterms:modified xsi:type="dcterms:W3CDTF">2025-05-30T12:13:00Z</dcterms:modified>
</cp:coreProperties>
</file>