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7B5A6FBC" w14:textId="77777777" w:rsidR="00F2604B" w:rsidRDefault="00F2604B" w:rsidP="00F2604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  <w:sz w:val="24"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AC20E" w14:textId="77777777" w:rsidR="00256D82" w:rsidRDefault="00256D82" w:rsidP="00CC5FBF">
      <w:pPr>
        <w:spacing w:after="0" w:line="240" w:lineRule="auto"/>
      </w:pPr>
      <w:r>
        <w:separator/>
      </w:r>
    </w:p>
  </w:endnote>
  <w:endnote w:type="continuationSeparator" w:id="0">
    <w:p w14:paraId="649533A2" w14:textId="77777777" w:rsidR="00256D82" w:rsidRDefault="00256D82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006EF" w14:textId="77777777" w:rsidR="00256D82" w:rsidRDefault="00256D82" w:rsidP="00CC5FBF">
      <w:pPr>
        <w:spacing w:after="0" w:line="240" w:lineRule="auto"/>
      </w:pPr>
      <w:r>
        <w:separator/>
      </w:r>
    </w:p>
  </w:footnote>
  <w:footnote w:type="continuationSeparator" w:id="0">
    <w:p w14:paraId="5E3DC688" w14:textId="77777777" w:rsidR="00256D82" w:rsidRDefault="00256D82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56D82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2604B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2025-05-27T21:41:00Z</dcterms:modified>
</cp:coreProperties>
</file>